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81151" w14:textId="561D3016" w:rsidR="002122FD" w:rsidRDefault="002122FD" w:rsidP="001272A7"/>
    <w:p w14:paraId="328A0DF3" w14:textId="35E1D1DF" w:rsidR="001272A7" w:rsidRDefault="001272A7" w:rsidP="001272A7"/>
    <w:p w14:paraId="17968A63" w14:textId="365509EE" w:rsidR="001272A7" w:rsidRDefault="001272A7" w:rsidP="001272A7"/>
    <w:p w14:paraId="2943E2D4" w14:textId="5248654E" w:rsidR="001272A7" w:rsidRDefault="001272A7" w:rsidP="001272A7"/>
    <w:p w14:paraId="397F57F1" w14:textId="62968497" w:rsidR="001272A7" w:rsidRDefault="001272A7" w:rsidP="001272A7"/>
    <w:p w14:paraId="50D462DD" w14:textId="3EC7508C" w:rsidR="001272A7" w:rsidRDefault="001272A7" w:rsidP="001272A7"/>
    <w:p w14:paraId="2EC0E686" w14:textId="3E0B2456" w:rsidR="001272A7" w:rsidRDefault="001272A7" w:rsidP="001272A7"/>
    <w:p w14:paraId="0EE7F772" w14:textId="4FC862FA" w:rsidR="001272A7" w:rsidRDefault="001272A7" w:rsidP="001272A7"/>
    <w:p w14:paraId="1FA54E12" w14:textId="678AAE0F" w:rsidR="001272A7" w:rsidRDefault="001272A7" w:rsidP="001272A7"/>
    <w:p w14:paraId="50E71792" w14:textId="694B9997" w:rsidR="001272A7" w:rsidRDefault="001272A7" w:rsidP="001272A7"/>
    <w:p w14:paraId="678C7927" w14:textId="2DD783C5" w:rsidR="001272A7" w:rsidRDefault="001272A7" w:rsidP="001272A7"/>
    <w:p w14:paraId="023CB9E2" w14:textId="2B6CA8C6" w:rsidR="001272A7" w:rsidRDefault="001272A7" w:rsidP="001272A7"/>
    <w:p w14:paraId="0265A6FA" w14:textId="12E3B4F9" w:rsidR="001272A7" w:rsidRDefault="00E974B9" w:rsidP="001272A7">
      <w:r>
        <w:rPr>
          <w:rFonts w:eastAsia="Times New Roman" w:cs="Tahoma"/>
          <w:b/>
          <w:i/>
          <w:noProof/>
          <w:color w:val="0570B1"/>
          <w:sz w:val="28"/>
          <w:szCs w:val="28"/>
          <w:lang w:eastAsia="fr-FR"/>
        </w:rPr>
        <mc:AlternateContent>
          <mc:Choice Requires="wps">
            <w:drawing>
              <wp:inline distT="0" distB="0" distL="0" distR="0" wp14:anchorId="44A26E74" wp14:editId="2674223F">
                <wp:extent cx="5734050" cy="2400300"/>
                <wp:effectExtent l="0" t="0" r="0" b="0"/>
                <wp:docPr id="19" name="Rectangle 19"/>
                <wp:cNvGraphicFramePr/>
                <a:graphic xmlns:a="http://schemas.openxmlformats.org/drawingml/2006/main">
                  <a:graphicData uri="http://schemas.microsoft.com/office/word/2010/wordprocessingShape">
                    <wps:wsp>
                      <wps:cNvSpPr/>
                      <wps:spPr>
                        <a:xfrm>
                          <a:off x="0" y="0"/>
                          <a:ext cx="5734050" cy="24003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6B6775" w14:textId="77777777" w:rsidR="003D15DF" w:rsidRDefault="00A819D3" w:rsidP="00E974B9">
                            <w:pPr>
                              <w:pBdr>
                                <w:bottom w:val="single" w:sz="4" w:space="1" w:color="223263"/>
                              </w:pBdr>
                              <w:jc w:val="center"/>
                              <w:rPr>
                                <w:rFonts w:ascii="Century Gothic" w:hAnsi="Century Gothic"/>
                                <w:b/>
                                <w:color w:val="002060"/>
                                <w:sz w:val="72"/>
                                <w:szCs w:val="72"/>
                              </w:rPr>
                            </w:pPr>
                            <w:r>
                              <w:rPr>
                                <w:rFonts w:ascii="Century Gothic" w:hAnsi="Century Gothic"/>
                                <w:b/>
                                <w:color w:val="002060"/>
                                <w:sz w:val="72"/>
                                <w:szCs w:val="72"/>
                              </w:rPr>
                              <w:t>Réponse à l’article 10 du règlement SFDR</w:t>
                            </w:r>
                            <w:r w:rsidR="003D15DF">
                              <w:rPr>
                                <w:rFonts w:ascii="Century Gothic" w:hAnsi="Century Gothic"/>
                                <w:b/>
                                <w:color w:val="002060"/>
                                <w:sz w:val="72"/>
                                <w:szCs w:val="72"/>
                              </w:rPr>
                              <w:t xml:space="preserve"> </w:t>
                            </w:r>
                          </w:p>
                          <w:p w14:paraId="62E8AA8C" w14:textId="426EA0E8" w:rsidR="00E974B9" w:rsidRPr="00404030" w:rsidRDefault="003D15DF" w:rsidP="00E974B9">
                            <w:pPr>
                              <w:pBdr>
                                <w:bottom w:val="single" w:sz="4" w:space="1" w:color="223263"/>
                              </w:pBdr>
                              <w:jc w:val="center"/>
                              <w:rPr>
                                <w:rFonts w:ascii="Century Gothic" w:hAnsi="Century Gothic"/>
                                <w:b/>
                                <w:color w:val="002060"/>
                                <w:sz w:val="72"/>
                                <w:szCs w:val="72"/>
                              </w:rPr>
                            </w:pPr>
                            <w:r>
                              <w:rPr>
                                <w:rFonts w:ascii="Century Gothic" w:hAnsi="Century Gothic"/>
                                <w:b/>
                                <w:color w:val="002060"/>
                                <w:sz w:val="72"/>
                                <w:szCs w:val="72"/>
                              </w:rPr>
                              <w:t xml:space="preserve">- </w:t>
                            </w:r>
                            <w:r w:rsidR="003127FD">
                              <w:rPr>
                                <w:rFonts w:ascii="Century Gothic" w:hAnsi="Century Gothic"/>
                                <w:b/>
                                <w:color w:val="002060"/>
                                <w:sz w:val="72"/>
                                <w:szCs w:val="72"/>
                              </w:rPr>
                              <w:t>Alpha Convictions</w:t>
                            </w:r>
                            <w:r w:rsidR="00C46FE8">
                              <w:rPr>
                                <w:rFonts w:ascii="Century Gothic" w:hAnsi="Century Gothic"/>
                                <w:b/>
                                <w:color w:val="002060"/>
                                <w:sz w:val="72"/>
                                <w:szCs w:val="72"/>
                              </w:rPr>
                              <w:t xml:space="preserve"> Obligataire</w:t>
                            </w:r>
                            <w:r w:rsidR="004746F7">
                              <w:rPr>
                                <w:rFonts w:ascii="Century Gothic" w:hAnsi="Century Gothic"/>
                                <w:b/>
                                <w:color w:val="002060"/>
                                <w:sz w:val="72"/>
                                <w:szCs w:val="7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4A26E74" id="Rectangle 19" o:spid="_x0000_s1026" style="width:451.5pt;height:18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" filled="f" stroked="f" strokeweight="1pt">
                <v:textbox>
                  <w:txbxContent>
                    <w:p w14:paraId="506B6775" w14:textId="77777777" w:rsidR="003D15DF" w:rsidRDefault="00A819D3" w:rsidP="00E974B9">
                      <w:pPr>
                        <w:pBdr>
                          <w:bottom w:val="single" w:sz="4" w:space="1" w:color="223263"/>
                        </w:pBdr>
                        <w:jc w:val="center"/>
                        <w:rPr>
                          <w:rFonts w:ascii="Century Gothic" w:hAnsi="Century Gothic"/>
                          <w:b/>
                          <w:color w:val="002060"/>
                          <w:sz w:val="72"/>
                          <w:szCs w:val="72"/>
                        </w:rPr>
                      </w:pPr>
                      <w:r>
                        <w:rPr>
                          <w:rFonts w:ascii="Century Gothic" w:hAnsi="Century Gothic"/>
                          <w:b/>
                          <w:color w:val="002060"/>
                          <w:sz w:val="72"/>
                          <w:szCs w:val="72"/>
                        </w:rPr>
                        <w:t>Réponse à l’article 10 du règlement SFDR</w:t>
                      </w:r>
                      <w:r w:rsidR="003D15DF">
                        <w:rPr>
                          <w:rFonts w:ascii="Century Gothic" w:hAnsi="Century Gothic"/>
                          <w:b/>
                          <w:color w:val="002060"/>
                          <w:sz w:val="72"/>
                          <w:szCs w:val="72"/>
                        </w:rPr>
                        <w:t xml:space="preserve"> </w:t>
                      </w:r>
                    </w:p>
                    <w:p w14:paraId="62E8AA8C" w14:textId="426EA0E8" w:rsidR="00E974B9" w:rsidRPr="00404030" w:rsidRDefault="003D15DF" w:rsidP="00E974B9">
                      <w:pPr>
                        <w:pBdr>
                          <w:bottom w:val="single" w:sz="4" w:space="1" w:color="223263"/>
                        </w:pBdr>
                        <w:jc w:val="center"/>
                        <w:rPr>
                          <w:rFonts w:ascii="Century Gothic" w:hAnsi="Century Gothic"/>
                          <w:b/>
                          <w:color w:val="002060"/>
                          <w:sz w:val="72"/>
                          <w:szCs w:val="72"/>
                        </w:rPr>
                      </w:pPr>
                      <w:r>
                        <w:rPr>
                          <w:rFonts w:ascii="Century Gothic" w:hAnsi="Century Gothic"/>
                          <w:b/>
                          <w:color w:val="002060"/>
                          <w:sz w:val="72"/>
                          <w:szCs w:val="72"/>
                        </w:rPr>
                        <w:t xml:space="preserve">- </w:t>
                      </w:r>
                      <w:r w:rsidR="003127FD">
                        <w:rPr>
                          <w:rFonts w:ascii="Century Gothic" w:hAnsi="Century Gothic"/>
                          <w:b/>
                          <w:color w:val="002060"/>
                          <w:sz w:val="72"/>
                          <w:szCs w:val="72"/>
                        </w:rPr>
                        <w:t>Alpha Convictions</w:t>
                      </w:r>
                      <w:r w:rsidR="00C46FE8">
                        <w:rPr>
                          <w:rFonts w:ascii="Century Gothic" w:hAnsi="Century Gothic"/>
                          <w:b/>
                          <w:color w:val="002060"/>
                          <w:sz w:val="72"/>
                          <w:szCs w:val="72"/>
                        </w:rPr>
                        <w:t xml:space="preserve"> Obligataire</w:t>
                      </w:r>
                      <w:r w:rsidR="004746F7">
                        <w:rPr>
                          <w:rFonts w:ascii="Century Gothic" w:hAnsi="Century Gothic"/>
                          <w:b/>
                          <w:color w:val="002060"/>
                          <w:sz w:val="72"/>
                          <w:szCs w:val="72"/>
                        </w:rPr>
                        <w:t xml:space="preserve"> </w:t>
                      </w:r>
                    </w:p>
                  </w:txbxContent>
                </v:textbox>
                <w10:anchorlock/>
              </v:rect>
            </w:pict>
          </mc:Fallback>
        </mc:AlternateContent>
      </w:r>
    </w:p>
    <w:p w14:paraId="372CBECD" w14:textId="1623F774" w:rsidR="001272A7" w:rsidRDefault="001272A7" w:rsidP="001272A7"/>
    <w:p w14:paraId="0B738418" w14:textId="739DB1EE" w:rsidR="001272A7" w:rsidRDefault="00E974B9" w:rsidP="001272A7">
      <w:r>
        <w:rPr>
          <w:rFonts w:eastAsia="Times New Roman" w:cs="Tahoma"/>
          <w:b/>
          <w:i/>
          <w:noProof/>
          <w:color w:val="0570B1"/>
          <w:sz w:val="28"/>
          <w:szCs w:val="28"/>
          <w:lang w:eastAsia="fr-FR"/>
        </w:rPr>
        <mc:AlternateContent>
          <mc:Choice Requires="wps">
            <w:drawing>
              <wp:anchor distT="0" distB="0" distL="114300" distR="114300" simplePos="0" relativeHeight="251659264" behindDoc="0" locked="0" layoutInCell="1" allowOverlap="1" wp14:anchorId="4A66C32C" wp14:editId="776D3C6A">
                <wp:simplePos x="0" y="0"/>
                <wp:positionH relativeFrom="margin">
                  <wp:posOffset>76200</wp:posOffset>
                </wp:positionH>
                <wp:positionV relativeFrom="paragraph">
                  <wp:posOffset>115570</wp:posOffset>
                </wp:positionV>
                <wp:extent cx="5762625" cy="400050"/>
                <wp:effectExtent l="0" t="0" r="0" b="0"/>
                <wp:wrapNone/>
                <wp:docPr id="24" name="Rectangle 24"/>
                <wp:cNvGraphicFramePr/>
                <a:graphic xmlns:a="http://schemas.openxmlformats.org/drawingml/2006/main">
                  <a:graphicData uri="http://schemas.microsoft.com/office/word/2010/wordprocessingShape">
                    <wps:wsp>
                      <wps:cNvSpPr/>
                      <wps:spPr>
                        <a:xfrm>
                          <a:off x="0" y="0"/>
                          <a:ext cx="5762625" cy="4000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B47CE1" w14:textId="4EE44CB1" w:rsidR="001272A7" w:rsidRPr="00404030" w:rsidRDefault="00B22FFC" w:rsidP="001272A7">
                            <w:pPr>
                              <w:jc w:val="left"/>
                              <w:rPr>
                                <w:rFonts w:ascii="Century Gothic" w:hAnsi="Century Gothic"/>
                                <w:color w:val="002060"/>
                                <w:sz w:val="32"/>
                              </w:rPr>
                            </w:pPr>
                            <w:r>
                              <w:rPr>
                                <w:rFonts w:ascii="Century Gothic" w:hAnsi="Century Gothic"/>
                                <w:color w:val="002060"/>
                                <w:sz w:val="32"/>
                              </w:rPr>
                              <w:t>Février 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A66C32C" id="Rectangle 24" o:spid="_x0000_s1027" style="position:absolute;left:0;text-align:left;margin-left:6pt;margin-top:9.1pt;width:453.75pt;height:31.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" filled="f" stroked="f" strokeweight="1pt">
                <v:textbox>
                  <w:txbxContent>
                    <w:p w14:paraId="28B47CE1" w14:textId="4EE44CB1" w:rsidR="001272A7" w:rsidRPr="00404030" w:rsidRDefault="00B22FFC" w:rsidP="001272A7">
                      <w:pPr>
                        <w:jc w:val="left"/>
                        <w:rPr>
                          <w:rFonts w:ascii="Century Gothic" w:hAnsi="Century Gothic"/>
                          <w:color w:val="002060"/>
                          <w:sz w:val="32"/>
                        </w:rPr>
                      </w:pPr>
                      <w:r>
                        <w:rPr>
                          <w:rFonts w:ascii="Century Gothic" w:hAnsi="Century Gothic"/>
                          <w:color w:val="002060"/>
                          <w:sz w:val="32"/>
                        </w:rPr>
                        <w:t>Février 2025</w:t>
                      </w:r>
                    </w:p>
                  </w:txbxContent>
                </v:textbox>
                <w10:wrap anchorx="margin"/>
              </v:rect>
            </w:pict>
          </mc:Fallback>
        </mc:AlternateContent>
      </w:r>
    </w:p>
    <w:p w14:paraId="1F939723" w14:textId="31E68589" w:rsidR="001272A7" w:rsidRDefault="001272A7" w:rsidP="001272A7"/>
    <w:p w14:paraId="0796634F" w14:textId="76275C44" w:rsidR="001272A7" w:rsidRDefault="001272A7">
      <w:pPr>
        <w:spacing w:after="160" w:line="259" w:lineRule="auto"/>
        <w:jc w:val="left"/>
      </w:pPr>
      <w:r>
        <w:br w:type="page"/>
      </w:r>
    </w:p>
    <w:p w14:paraId="42C673E3" w14:textId="2BCDA9E6" w:rsidR="0010043C" w:rsidRDefault="0010043C">
      <w:pPr>
        <w:spacing w:after="160" w:line="259" w:lineRule="auto"/>
        <w:jc w:val="left"/>
      </w:pPr>
    </w:p>
    <w:sdt>
      <w:sdtPr>
        <w:rPr>
          <w:rFonts w:asciiTheme="minorHAnsi" w:eastAsiaTheme="minorHAnsi" w:hAnsiTheme="minorHAnsi" w:cstheme="minorBidi"/>
          <w:color w:val="auto"/>
          <w:sz w:val="24"/>
          <w:szCs w:val="24"/>
          <w:lang w:eastAsia="en-US"/>
        </w:rPr>
        <w:id w:val="-597257287"/>
        <w:docPartObj>
          <w:docPartGallery w:val="Table of Contents"/>
          <w:docPartUnique/>
        </w:docPartObj>
      </w:sdtPr>
      <w:sdtEndPr>
        <w:rPr>
          <w:rFonts w:ascii="Century Gothic" w:hAnsi="Century Gothic"/>
          <w:b/>
          <w:bCs/>
        </w:rPr>
      </w:sdtEndPr>
      <w:sdtContent>
        <w:p w14:paraId="5DCC2CEC" w14:textId="4C861BAD" w:rsidR="0010043C" w:rsidRPr="00561A83" w:rsidRDefault="0010043C">
          <w:pPr>
            <w:pStyle w:val="En-ttedetabledesmatires"/>
            <w:rPr>
              <w:rFonts w:ascii="Century Gothic" w:hAnsi="Century Gothic"/>
              <w:sz w:val="28"/>
              <w:szCs w:val="28"/>
            </w:rPr>
          </w:pPr>
          <w:r w:rsidRPr="00561A83">
            <w:rPr>
              <w:rFonts w:ascii="Century Gothic" w:hAnsi="Century Gothic"/>
              <w:sz w:val="28"/>
              <w:szCs w:val="28"/>
            </w:rPr>
            <w:t>Table des matières</w:t>
          </w:r>
        </w:p>
        <w:p w14:paraId="4C2CEEEF" w14:textId="71373464" w:rsidR="00561A83" w:rsidRPr="00561A83" w:rsidRDefault="0010043C">
          <w:pPr>
            <w:pStyle w:val="TM1"/>
            <w:rPr>
              <w:rFonts w:ascii="Century Gothic" w:eastAsiaTheme="minorEastAsia" w:hAnsi="Century Gothic"/>
              <w:noProof/>
              <w:kern w:val="2"/>
              <w:sz w:val="22"/>
              <w:szCs w:val="22"/>
              <w:lang w:eastAsia="fr-FR"/>
              <w14:ligatures w14:val="standardContextual"/>
            </w:rPr>
          </w:pPr>
          <w:r w:rsidRPr="00561A83">
            <w:rPr>
              <w:rFonts w:ascii="Century Gothic" w:hAnsi="Century Gothic"/>
              <w:sz w:val="22"/>
              <w:szCs w:val="22"/>
            </w:rPr>
            <w:fldChar w:fldCharType="begin"/>
          </w:r>
          <w:r w:rsidRPr="00561A83">
            <w:rPr>
              <w:rFonts w:ascii="Century Gothic" w:hAnsi="Century Gothic"/>
              <w:sz w:val="22"/>
              <w:szCs w:val="22"/>
            </w:rPr>
            <w:instrText xml:space="preserve"> TOC \o "1-3" \h \z \u </w:instrText>
          </w:r>
          <w:r w:rsidRPr="00561A83">
            <w:rPr>
              <w:rFonts w:ascii="Century Gothic" w:hAnsi="Century Gothic"/>
              <w:sz w:val="22"/>
              <w:szCs w:val="22"/>
            </w:rPr>
            <w:fldChar w:fldCharType="separate"/>
          </w:r>
          <w:hyperlink w:anchor="_Toc161160487" w:history="1">
            <w:r w:rsidR="00561A83" w:rsidRPr="00561A83">
              <w:rPr>
                <w:rStyle w:val="Lienhypertexte"/>
                <w:rFonts w:ascii="Century Gothic" w:hAnsi="Century Gothic"/>
                <w:noProof/>
                <w:sz w:val="22"/>
                <w:szCs w:val="22"/>
              </w:rPr>
              <w:t>Résumé</w:t>
            </w:r>
            <w:r w:rsidR="00561A83" w:rsidRPr="00561A83">
              <w:rPr>
                <w:rFonts w:ascii="Century Gothic" w:hAnsi="Century Gothic"/>
                <w:noProof/>
                <w:webHidden/>
                <w:sz w:val="22"/>
                <w:szCs w:val="22"/>
              </w:rPr>
              <w:tab/>
            </w:r>
            <w:r w:rsidR="00561A83" w:rsidRPr="00561A83">
              <w:rPr>
                <w:rFonts w:ascii="Century Gothic" w:hAnsi="Century Gothic"/>
                <w:noProof/>
                <w:webHidden/>
                <w:sz w:val="22"/>
                <w:szCs w:val="22"/>
              </w:rPr>
              <w:fldChar w:fldCharType="begin"/>
            </w:r>
            <w:r w:rsidR="00561A83" w:rsidRPr="00561A83">
              <w:rPr>
                <w:rFonts w:ascii="Century Gothic" w:hAnsi="Century Gothic"/>
                <w:noProof/>
                <w:webHidden/>
                <w:sz w:val="22"/>
                <w:szCs w:val="22"/>
              </w:rPr>
              <w:instrText xml:space="preserve"> PAGEREF _Toc161160487 \h </w:instrText>
            </w:r>
            <w:r w:rsidR="00561A83" w:rsidRPr="00561A83">
              <w:rPr>
                <w:rFonts w:ascii="Century Gothic" w:hAnsi="Century Gothic"/>
                <w:noProof/>
                <w:webHidden/>
                <w:sz w:val="22"/>
                <w:szCs w:val="22"/>
              </w:rPr>
            </w:r>
            <w:r w:rsidR="00561A83" w:rsidRPr="00561A83">
              <w:rPr>
                <w:rFonts w:ascii="Century Gothic" w:hAnsi="Century Gothic"/>
                <w:noProof/>
                <w:webHidden/>
                <w:sz w:val="22"/>
                <w:szCs w:val="22"/>
              </w:rPr>
              <w:fldChar w:fldCharType="separate"/>
            </w:r>
            <w:r w:rsidR="00A20849">
              <w:rPr>
                <w:rFonts w:ascii="Century Gothic" w:hAnsi="Century Gothic"/>
                <w:noProof/>
                <w:webHidden/>
                <w:sz w:val="22"/>
                <w:szCs w:val="22"/>
              </w:rPr>
              <w:t>3</w:t>
            </w:r>
            <w:r w:rsidR="00561A83" w:rsidRPr="00561A83">
              <w:rPr>
                <w:rFonts w:ascii="Century Gothic" w:hAnsi="Century Gothic"/>
                <w:noProof/>
                <w:webHidden/>
                <w:sz w:val="22"/>
                <w:szCs w:val="22"/>
              </w:rPr>
              <w:fldChar w:fldCharType="end"/>
            </w:r>
          </w:hyperlink>
        </w:p>
        <w:p w14:paraId="72D71EF0" w14:textId="7A7C0F53" w:rsidR="00561A83" w:rsidRPr="00561A83" w:rsidRDefault="00561A83">
          <w:pPr>
            <w:pStyle w:val="TM1"/>
            <w:rPr>
              <w:rFonts w:ascii="Century Gothic" w:eastAsiaTheme="minorEastAsia" w:hAnsi="Century Gothic"/>
              <w:noProof/>
              <w:kern w:val="2"/>
              <w:sz w:val="22"/>
              <w:szCs w:val="22"/>
              <w:lang w:eastAsia="fr-FR"/>
              <w14:ligatures w14:val="standardContextual"/>
            </w:rPr>
          </w:pPr>
          <w:hyperlink w:anchor="_Toc161160488" w:history="1">
            <w:r w:rsidRPr="00561A83">
              <w:rPr>
                <w:rStyle w:val="Lienhypertexte"/>
                <w:rFonts w:ascii="Century Gothic" w:hAnsi="Century Gothic"/>
                <w:noProof/>
                <w:sz w:val="22"/>
                <w:szCs w:val="22"/>
              </w:rPr>
              <w:t>Sans objectif d’investissement durable</w:t>
            </w:r>
            <w:r w:rsidRPr="00561A83">
              <w:rPr>
                <w:rFonts w:ascii="Century Gothic" w:hAnsi="Century Gothic"/>
                <w:noProof/>
                <w:webHidden/>
                <w:sz w:val="22"/>
                <w:szCs w:val="22"/>
              </w:rPr>
              <w:tab/>
            </w:r>
            <w:r w:rsidRPr="00561A83">
              <w:rPr>
                <w:rFonts w:ascii="Century Gothic" w:hAnsi="Century Gothic"/>
                <w:noProof/>
                <w:webHidden/>
                <w:sz w:val="22"/>
                <w:szCs w:val="22"/>
              </w:rPr>
              <w:fldChar w:fldCharType="begin"/>
            </w:r>
            <w:r w:rsidRPr="00561A83">
              <w:rPr>
                <w:rFonts w:ascii="Century Gothic" w:hAnsi="Century Gothic"/>
                <w:noProof/>
                <w:webHidden/>
                <w:sz w:val="22"/>
                <w:szCs w:val="22"/>
              </w:rPr>
              <w:instrText xml:space="preserve"> PAGEREF _Toc161160488 \h </w:instrText>
            </w:r>
            <w:r w:rsidRPr="00561A83">
              <w:rPr>
                <w:rFonts w:ascii="Century Gothic" w:hAnsi="Century Gothic"/>
                <w:noProof/>
                <w:webHidden/>
                <w:sz w:val="22"/>
                <w:szCs w:val="22"/>
              </w:rPr>
            </w:r>
            <w:r w:rsidRPr="00561A83">
              <w:rPr>
                <w:rFonts w:ascii="Century Gothic" w:hAnsi="Century Gothic"/>
                <w:noProof/>
                <w:webHidden/>
                <w:sz w:val="22"/>
                <w:szCs w:val="22"/>
              </w:rPr>
              <w:fldChar w:fldCharType="separate"/>
            </w:r>
            <w:r w:rsidR="00A20849">
              <w:rPr>
                <w:rFonts w:ascii="Century Gothic" w:hAnsi="Century Gothic"/>
                <w:noProof/>
                <w:webHidden/>
                <w:sz w:val="22"/>
                <w:szCs w:val="22"/>
              </w:rPr>
              <w:t>4</w:t>
            </w:r>
            <w:r w:rsidRPr="00561A83">
              <w:rPr>
                <w:rFonts w:ascii="Century Gothic" w:hAnsi="Century Gothic"/>
                <w:noProof/>
                <w:webHidden/>
                <w:sz w:val="22"/>
                <w:szCs w:val="22"/>
              </w:rPr>
              <w:fldChar w:fldCharType="end"/>
            </w:r>
          </w:hyperlink>
        </w:p>
        <w:p w14:paraId="41CACE68" w14:textId="2EC8FC7E" w:rsidR="00561A83" w:rsidRPr="00561A83" w:rsidRDefault="00561A83">
          <w:pPr>
            <w:pStyle w:val="TM1"/>
            <w:rPr>
              <w:rFonts w:ascii="Century Gothic" w:eastAsiaTheme="minorEastAsia" w:hAnsi="Century Gothic"/>
              <w:noProof/>
              <w:kern w:val="2"/>
              <w:sz w:val="22"/>
              <w:szCs w:val="22"/>
              <w:lang w:eastAsia="fr-FR"/>
              <w14:ligatures w14:val="standardContextual"/>
            </w:rPr>
          </w:pPr>
          <w:hyperlink w:anchor="_Toc161160489" w:history="1">
            <w:r w:rsidRPr="00561A83">
              <w:rPr>
                <w:rStyle w:val="Lienhypertexte"/>
                <w:rFonts w:ascii="Century Gothic" w:hAnsi="Century Gothic"/>
                <w:noProof/>
                <w:sz w:val="22"/>
                <w:szCs w:val="22"/>
              </w:rPr>
              <w:t>Caractéristiques environnementales ou sociales du produit financier</w:t>
            </w:r>
            <w:r w:rsidRPr="00561A83">
              <w:rPr>
                <w:rFonts w:ascii="Century Gothic" w:hAnsi="Century Gothic"/>
                <w:noProof/>
                <w:webHidden/>
                <w:sz w:val="22"/>
                <w:szCs w:val="22"/>
              </w:rPr>
              <w:tab/>
            </w:r>
            <w:r w:rsidRPr="00561A83">
              <w:rPr>
                <w:rFonts w:ascii="Century Gothic" w:hAnsi="Century Gothic"/>
                <w:noProof/>
                <w:webHidden/>
                <w:sz w:val="22"/>
                <w:szCs w:val="22"/>
              </w:rPr>
              <w:fldChar w:fldCharType="begin"/>
            </w:r>
            <w:r w:rsidRPr="00561A83">
              <w:rPr>
                <w:rFonts w:ascii="Century Gothic" w:hAnsi="Century Gothic"/>
                <w:noProof/>
                <w:webHidden/>
                <w:sz w:val="22"/>
                <w:szCs w:val="22"/>
              </w:rPr>
              <w:instrText xml:space="preserve"> PAGEREF _Toc161160489 \h </w:instrText>
            </w:r>
            <w:r w:rsidRPr="00561A83">
              <w:rPr>
                <w:rFonts w:ascii="Century Gothic" w:hAnsi="Century Gothic"/>
                <w:noProof/>
                <w:webHidden/>
                <w:sz w:val="22"/>
                <w:szCs w:val="22"/>
              </w:rPr>
            </w:r>
            <w:r w:rsidRPr="00561A83">
              <w:rPr>
                <w:rFonts w:ascii="Century Gothic" w:hAnsi="Century Gothic"/>
                <w:noProof/>
                <w:webHidden/>
                <w:sz w:val="22"/>
                <w:szCs w:val="22"/>
              </w:rPr>
              <w:fldChar w:fldCharType="separate"/>
            </w:r>
            <w:r w:rsidR="00A20849">
              <w:rPr>
                <w:rFonts w:ascii="Century Gothic" w:hAnsi="Century Gothic"/>
                <w:noProof/>
                <w:webHidden/>
                <w:sz w:val="22"/>
                <w:szCs w:val="22"/>
              </w:rPr>
              <w:t>5</w:t>
            </w:r>
            <w:r w:rsidRPr="00561A83">
              <w:rPr>
                <w:rFonts w:ascii="Century Gothic" w:hAnsi="Century Gothic"/>
                <w:noProof/>
                <w:webHidden/>
                <w:sz w:val="22"/>
                <w:szCs w:val="22"/>
              </w:rPr>
              <w:fldChar w:fldCharType="end"/>
            </w:r>
          </w:hyperlink>
        </w:p>
        <w:p w14:paraId="1C5D30F1" w14:textId="4ACBE04A" w:rsidR="00561A83" w:rsidRPr="00561A83" w:rsidRDefault="00561A83">
          <w:pPr>
            <w:pStyle w:val="TM2"/>
            <w:tabs>
              <w:tab w:val="right" w:leader="dot" w:pos="9062"/>
            </w:tabs>
            <w:rPr>
              <w:rFonts w:ascii="Century Gothic" w:eastAsiaTheme="minorEastAsia" w:hAnsi="Century Gothic"/>
              <w:noProof/>
              <w:kern w:val="2"/>
              <w:sz w:val="22"/>
              <w:szCs w:val="22"/>
              <w:lang w:eastAsia="fr-FR"/>
              <w14:ligatures w14:val="standardContextual"/>
            </w:rPr>
          </w:pPr>
          <w:hyperlink w:anchor="_Toc161160490" w:history="1">
            <w:r w:rsidRPr="00561A83">
              <w:rPr>
                <w:rStyle w:val="Lienhypertexte"/>
                <w:rFonts w:ascii="Century Gothic" w:hAnsi="Century Gothic"/>
                <w:noProof/>
                <w:sz w:val="22"/>
                <w:szCs w:val="22"/>
              </w:rPr>
              <w:t>Exclusion</w:t>
            </w:r>
            <w:r w:rsidRPr="00561A83">
              <w:rPr>
                <w:rFonts w:ascii="Century Gothic" w:hAnsi="Century Gothic"/>
                <w:noProof/>
                <w:webHidden/>
                <w:sz w:val="22"/>
                <w:szCs w:val="22"/>
              </w:rPr>
              <w:tab/>
            </w:r>
            <w:r w:rsidRPr="00561A83">
              <w:rPr>
                <w:rFonts w:ascii="Century Gothic" w:hAnsi="Century Gothic"/>
                <w:noProof/>
                <w:webHidden/>
                <w:sz w:val="22"/>
                <w:szCs w:val="22"/>
              </w:rPr>
              <w:fldChar w:fldCharType="begin"/>
            </w:r>
            <w:r w:rsidRPr="00561A83">
              <w:rPr>
                <w:rFonts w:ascii="Century Gothic" w:hAnsi="Century Gothic"/>
                <w:noProof/>
                <w:webHidden/>
                <w:sz w:val="22"/>
                <w:szCs w:val="22"/>
              </w:rPr>
              <w:instrText xml:space="preserve"> PAGEREF _Toc161160490 \h </w:instrText>
            </w:r>
            <w:r w:rsidRPr="00561A83">
              <w:rPr>
                <w:rFonts w:ascii="Century Gothic" w:hAnsi="Century Gothic"/>
                <w:noProof/>
                <w:webHidden/>
                <w:sz w:val="22"/>
                <w:szCs w:val="22"/>
              </w:rPr>
            </w:r>
            <w:r w:rsidRPr="00561A83">
              <w:rPr>
                <w:rFonts w:ascii="Century Gothic" w:hAnsi="Century Gothic"/>
                <w:noProof/>
                <w:webHidden/>
                <w:sz w:val="22"/>
                <w:szCs w:val="22"/>
              </w:rPr>
              <w:fldChar w:fldCharType="separate"/>
            </w:r>
            <w:r w:rsidR="00A20849">
              <w:rPr>
                <w:rFonts w:ascii="Century Gothic" w:hAnsi="Century Gothic"/>
                <w:noProof/>
                <w:webHidden/>
                <w:sz w:val="22"/>
                <w:szCs w:val="22"/>
              </w:rPr>
              <w:t>5</w:t>
            </w:r>
            <w:r w:rsidRPr="00561A83">
              <w:rPr>
                <w:rFonts w:ascii="Century Gothic" w:hAnsi="Century Gothic"/>
                <w:noProof/>
                <w:webHidden/>
                <w:sz w:val="22"/>
                <w:szCs w:val="22"/>
              </w:rPr>
              <w:fldChar w:fldCharType="end"/>
            </w:r>
          </w:hyperlink>
        </w:p>
        <w:p w14:paraId="3E2B5A21" w14:textId="5D60ECB9" w:rsidR="00561A83" w:rsidRPr="00561A83" w:rsidRDefault="00561A83">
          <w:pPr>
            <w:pStyle w:val="TM2"/>
            <w:tabs>
              <w:tab w:val="right" w:leader="dot" w:pos="9062"/>
            </w:tabs>
            <w:rPr>
              <w:rFonts w:ascii="Century Gothic" w:eastAsiaTheme="minorEastAsia" w:hAnsi="Century Gothic"/>
              <w:noProof/>
              <w:kern w:val="2"/>
              <w:sz w:val="22"/>
              <w:szCs w:val="22"/>
              <w:lang w:eastAsia="fr-FR"/>
              <w14:ligatures w14:val="standardContextual"/>
            </w:rPr>
          </w:pPr>
          <w:hyperlink w:anchor="_Toc161160491" w:history="1">
            <w:r w:rsidRPr="00561A83">
              <w:rPr>
                <w:rStyle w:val="Lienhypertexte"/>
                <w:rFonts w:ascii="Century Gothic" w:hAnsi="Century Gothic"/>
                <w:noProof/>
                <w:sz w:val="22"/>
                <w:szCs w:val="22"/>
              </w:rPr>
              <w:t>Notation ESG</w:t>
            </w:r>
            <w:r w:rsidRPr="00561A83">
              <w:rPr>
                <w:rFonts w:ascii="Century Gothic" w:hAnsi="Century Gothic"/>
                <w:noProof/>
                <w:webHidden/>
                <w:sz w:val="22"/>
                <w:szCs w:val="22"/>
              </w:rPr>
              <w:tab/>
            </w:r>
            <w:r w:rsidRPr="00561A83">
              <w:rPr>
                <w:rFonts w:ascii="Century Gothic" w:hAnsi="Century Gothic"/>
                <w:noProof/>
                <w:webHidden/>
                <w:sz w:val="22"/>
                <w:szCs w:val="22"/>
              </w:rPr>
              <w:fldChar w:fldCharType="begin"/>
            </w:r>
            <w:r w:rsidRPr="00561A83">
              <w:rPr>
                <w:rFonts w:ascii="Century Gothic" w:hAnsi="Century Gothic"/>
                <w:noProof/>
                <w:webHidden/>
                <w:sz w:val="22"/>
                <w:szCs w:val="22"/>
              </w:rPr>
              <w:instrText xml:space="preserve"> PAGEREF _Toc161160491 \h </w:instrText>
            </w:r>
            <w:r w:rsidRPr="00561A83">
              <w:rPr>
                <w:rFonts w:ascii="Century Gothic" w:hAnsi="Century Gothic"/>
                <w:noProof/>
                <w:webHidden/>
                <w:sz w:val="22"/>
                <w:szCs w:val="22"/>
              </w:rPr>
            </w:r>
            <w:r w:rsidRPr="00561A83">
              <w:rPr>
                <w:rFonts w:ascii="Century Gothic" w:hAnsi="Century Gothic"/>
                <w:noProof/>
                <w:webHidden/>
                <w:sz w:val="22"/>
                <w:szCs w:val="22"/>
              </w:rPr>
              <w:fldChar w:fldCharType="separate"/>
            </w:r>
            <w:r w:rsidR="00A20849">
              <w:rPr>
                <w:rFonts w:ascii="Century Gothic" w:hAnsi="Century Gothic"/>
                <w:noProof/>
                <w:webHidden/>
                <w:sz w:val="22"/>
                <w:szCs w:val="22"/>
              </w:rPr>
              <w:t>5</w:t>
            </w:r>
            <w:r w:rsidRPr="00561A83">
              <w:rPr>
                <w:rFonts w:ascii="Century Gothic" w:hAnsi="Century Gothic"/>
                <w:noProof/>
                <w:webHidden/>
                <w:sz w:val="22"/>
                <w:szCs w:val="22"/>
              </w:rPr>
              <w:fldChar w:fldCharType="end"/>
            </w:r>
          </w:hyperlink>
        </w:p>
        <w:p w14:paraId="202D6FE5" w14:textId="769F1B3B" w:rsidR="00561A83" w:rsidRPr="00561A83" w:rsidRDefault="00561A83">
          <w:pPr>
            <w:pStyle w:val="TM1"/>
            <w:rPr>
              <w:rFonts w:ascii="Century Gothic" w:eastAsiaTheme="minorEastAsia" w:hAnsi="Century Gothic"/>
              <w:noProof/>
              <w:kern w:val="2"/>
              <w:sz w:val="22"/>
              <w:szCs w:val="22"/>
              <w:lang w:eastAsia="fr-FR"/>
              <w14:ligatures w14:val="standardContextual"/>
            </w:rPr>
          </w:pPr>
          <w:hyperlink w:anchor="_Toc161160492" w:history="1">
            <w:r w:rsidRPr="00561A83">
              <w:rPr>
                <w:rStyle w:val="Lienhypertexte"/>
                <w:rFonts w:ascii="Century Gothic" w:hAnsi="Century Gothic"/>
                <w:noProof/>
                <w:sz w:val="22"/>
                <w:szCs w:val="22"/>
              </w:rPr>
              <w:t>Stratégie d’investissement</w:t>
            </w:r>
            <w:r w:rsidRPr="00561A83">
              <w:rPr>
                <w:rFonts w:ascii="Century Gothic" w:hAnsi="Century Gothic"/>
                <w:noProof/>
                <w:webHidden/>
                <w:sz w:val="22"/>
                <w:szCs w:val="22"/>
              </w:rPr>
              <w:tab/>
            </w:r>
            <w:r w:rsidRPr="00561A83">
              <w:rPr>
                <w:rFonts w:ascii="Century Gothic" w:hAnsi="Century Gothic"/>
                <w:noProof/>
                <w:webHidden/>
                <w:sz w:val="22"/>
                <w:szCs w:val="22"/>
              </w:rPr>
              <w:fldChar w:fldCharType="begin"/>
            </w:r>
            <w:r w:rsidRPr="00561A83">
              <w:rPr>
                <w:rFonts w:ascii="Century Gothic" w:hAnsi="Century Gothic"/>
                <w:noProof/>
                <w:webHidden/>
                <w:sz w:val="22"/>
                <w:szCs w:val="22"/>
              </w:rPr>
              <w:instrText xml:space="preserve"> PAGEREF _Toc161160492 \h </w:instrText>
            </w:r>
            <w:r w:rsidRPr="00561A83">
              <w:rPr>
                <w:rFonts w:ascii="Century Gothic" w:hAnsi="Century Gothic"/>
                <w:noProof/>
                <w:webHidden/>
                <w:sz w:val="22"/>
                <w:szCs w:val="22"/>
              </w:rPr>
            </w:r>
            <w:r w:rsidRPr="00561A83">
              <w:rPr>
                <w:rFonts w:ascii="Century Gothic" w:hAnsi="Century Gothic"/>
                <w:noProof/>
                <w:webHidden/>
                <w:sz w:val="22"/>
                <w:szCs w:val="22"/>
              </w:rPr>
              <w:fldChar w:fldCharType="separate"/>
            </w:r>
            <w:r w:rsidR="00A20849">
              <w:rPr>
                <w:rFonts w:ascii="Century Gothic" w:hAnsi="Century Gothic"/>
                <w:noProof/>
                <w:webHidden/>
                <w:sz w:val="22"/>
                <w:szCs w:val="22"/>
              </w:rPr>
              <w:t>6</w:t>
            </w:r>
            <w:r w:rsidRPr="00561A83">
              <w:rPr>
                <w:rFonts w:ascii="Century Gothic" w:hAnsi="Century Gothic"/>
                <w:noProof/>
                <w:webHidden/>
                <w:sz w:val="22"/>
                <w:szCs w:val="22"/>
              </w:rPr>
              <w:fldChar w:fldCharType="end"/>
            </w:r>
          </w:hyperlink>
        </w:p>
        <w:p w14:paraId="0A2A57BF" w14:textId="6AD47B42" w:rsidR="00561A83" w:rsidRPr="00561A83" w:rsidRDefault="00561A83">
          <w:pPr>
            <w:pStyle w:val="TM2"/>
            <w:tabs>
              <w:tab w:val="right" w:leader="dot" w:pos="9062"/>
            </w:tabs>
            <w:rPr>
              <w:rFonts w:ascii="Century Gothic" w:eastAsiaTheme="minorEastAsia" w:hAnsi="Century Gothic"/>
              <w:noProof/>
              <w:kern w:val="2"/>
              <w:sz w:val="22"/>
              <w:szCs w:val="22"/>
              <w:lang w:eastAsia="fr-FR"/>
              <w14:ligatures w14:val="standardContextual"/>
            </w:rPr>
          </w:pPr>
          <w:hyperlink w:anchor="_Toc161160493" w:history="1">
            <w:r w:rsidRPr="00561A83">
              <w:rPr>
                <w:rStyle w:val="Lienhypertexte"/>
                <w:rFonts w:ascii="Century Gothic" w:hAnsi="Century Gothic"/>
                <w:noProof/>
                <w:sz w:val="22"/>
                <w:szCs w:val="22"/>
              </w:rPr>
              <w:t>Intégration ESG</w:t>
            </w:r>
            <w:r w:rsidRPr="00561A83">
              <w:rPr>
                <w:rFonts w:ascii="Century Gothic" w:hAnsi="Century Gothic"/>
                <w:noProof/>
                <w:webHidden/>
                <w:sz w:val="22"/>
                <w:szCs w:val="22"/>
              </w:rPr>
              <w:tab/>
            </w:r>
            <w:r w:rsidRPr="00561A83">
              <w:rPr>
                <w:rFonts w:ascii="Century Gothic" w:hAnsi="Century Gothic"/>
                <w:noProof/>
                <w:webHidden/>
                <w:sz w:val="22"/>
                <w:szCs w:val="22"/>
              </w:rPr>
              <w:fldChar w:fldCharType="begin"/>
            </w:r>
            <w:r w:rsidRPr="00561A83">
              <w:rPr>
                <w:rFonts w:ascii="Century Gothic" w:hAnsi="Century Gothic"/>
                <w:noProof/>
                <w:webHidden/>
                <w:sz w:val="22"/>
                <w:szCs w:val="22"/>
              </w:rPr>
              <w:instrText xml:space="preserve"> PAGEREF _Toc161160493 \h </w:instrText>
            </w:r>
            <w:r w:rsidRPr="00561A83">
              <w:rPr>
                <w:rFonts w:ascii="Century Gothic" w:hAnsi="Century Gothic"/>
                <w:noProof/>
                <w:webHidden/>
                <w:sz w:val="22"/>
                <w:szCs w:val="22"/>
              </w:rPr>
            </w:r>
            <w:r w:rsidRPr="00561A83">
              <w:rPr>
                <w:rFonts w:ascii="Century Gothic" w:hAnsi="Century Gothic"/>
                <w:noProof/>
                <w:webHidden/>
                <w:sz w:val="22"/>
                <w:szCs w:val="22"/>
              </w:rPr>
              <w:fldChar w:fldCharType="separate"/>
            </w:r>
            <w:r w:rsidR="00A20849">
              <w:rPr>
                <w:rFonts w:ascii="Century Gothic" w:hAnsi="Century Gothic"/>
                <w:noProof/>
                <w:webHidden/>
                <w:sz w:val="22"/>
                <w:szCs w:val="22"/>
              </w:rPr>
              <w:t>6</w:t>
            </w:r>
            <w:r w:rsidRPr="00561A83">
              <w:rPr>
                <w:rFonts w:ascii="Century Gothic" w:hAnsi="Century Gothic"/>
                <w:noProof/>
                <w:webHidden/>
                <w:sz w:val="22"/>
                <w:szCs w:val="22"/>
              </w:rPr>
              <w:fldChar w:fldCharType="end"/>
            </w:r>
          </w:hyperlink>
        </w:p>
        <w:p w14:paraId="1574ECAB" w14:textId="5ABB1615" w:rsidR="00561A83" w:rsidRPr="00561A83" w:rsidRDefault="00561A83">
          <w:pPr>
            <w:pStyle w:val="TM2"/>
            <w:tabs>
              <w:tab w:val="right" w:leader="dot" w:pos="9062"/>
            </w:tabs>
            <w:rPr>
              <w:rFonts w:ascii="Century Gothic" w:eastAsiaTheme="minorEastAsia" w:hAnsi="Century Gothic"/>
              <w:noProof/>
              <w:kern w:val="2"/>
              <w:sz w:val="22"/>
              <w:szCs w:val="22"/>
              <w:lang w:eastAsia="fr-FR"/>
              <w14:ligatures w14:val="standardContextual"/>
            </w:rPr>
          </w:pPr>
          <w:hyperlink w:anchor="_Toc161160494" w:history="1">
            <w:r w:rsidRPr="00561A83">
              <w:rPr>
                <w:rStyle w:val="Lienhypertexte"/>
                <w:rFonts w:ascii="Century Gothic" w:hAnsi="Century Gothic"/>
                <w:noProof/>
                <w:sz w:val="22"/>
                <w:szCs w:val="22"/>
              </w:rPr>
              <w:t>Gouvernance</w:t>
            </w:r>
            <w:r w:rsidRPr="00561A83">
              <w:rPr>
                <w:rFonts w:ascii="Century Gothic" w:hAnsi="Century Gothic"/>
                <w:noProof/>
                <w:webHidden/>
                <w:sz w:val="22"/>
                <w:szCs w:val="22"/>
              </w:rPr>
              <w:tab/>
            </w:r>
            <w:r w:rsidRPr="00561A83">
              <w:rPr>
                <w:rFonts w:ascii="Century Gothic" w:hAnsi="Century Gothic"/>
                <w:noProof/>
                <w:webHidden/>
                <w:sz w:val="22"/>
                <w:szCs w:val="22"/>
              </w:rPr>
              <w:fldChar w:fldCharType="begin"/>
            </w:r>
            <w:r w:rsidRPr="00561A83">
              <w:rPr>
                <w:rFonts w:ascii="Century Gothic" w:hAnsi="Century Gothic"/>
                <w:noProof/>
                <w:webHidden/>
                <w:sz w:val="22"/>
                <w:szCs w:val="22"/>
              </w:rPr>
              <w:instrText xml:space="preserve"> PAGEREF _Toc161160494 \h </w:instrText>
            </w:r>
            <w:r w:rsidRPr="00561A83">
              <w:rPr>
                <w:rFonts w:ascii="Century Gothic" w:hAnsi="Century Gothic"/>
                <w:noProof/>
                <w:webHidden/>
                <w:sz w:val="22"/>
                <w:szCs w:val="22"/>
              </w:rPr>
            </w:r>
            <w:r w:rsidRPr="00561A83">
              <w:rPr>
                <w:rFonts w:ascii="Century Gothic" w:hAnsi="Century Gothic"/>
                <w:noProof/>
                <w:webHidden/>
                <w:sz w:val="22"/>
                <w:szCs w:val="22"/>
              </w:rPr>
              <w:fldChar w:fldCharType="separate"/>
            </w:r>
            <w:r w:rsidR="00A20849">
              <w:rPr>
                <w:rFonts w:ascii="Century Gothic" w:hAnsi="Century Gothic"/>
                <w:noProof/>
                <w:webHidden/>
                <w:sz w:val="22"/>
                <w:szCs w:val="22"/>
              </w:rPr>
              <w:t>6</w:t>
            </w:r>
            <w:r w:rsidRPr="00561A83">
              <w:rPr>
                <w:rFonts w:ascii="Century Gothic" w:hAnsi="Century Gothic"/>
                <w:noProof/>
                <w:webHidden/>
                <w:sz w:val="22"/>
                <w:szCs w:val="22"/>
              </w:rPr>
              <w:fldChar w:fldCharType="end"/>
            </w:r>
          </w:hyperlink>
        </w:p>
        <w:p w14:paraId="41A80B07" w14:textId="18D614A5" w:rsidR="00561A83" w:rsidRPr="00561A83" w:rsidRDefault="00561A83">
          <w:pPr>
            <w:pStyle w:val="TM1"/>
            <w:rPr>
              <w:rFonts w:ascii="Century Gothic" w:eastAsiaTheme="minorEastAsia" w:hAnsi="Century Gothic"/>
              <w:noProof/>
              <w:kern w:val="2"/>
              <w:sz w:val="22"/>
              <w:szCs w:val="22"/>
              <w:lang w:eastAsia="fr-FR"/>
              <w14:ligatures w14:val="standardContextual"/>
            </w:rPr>
          </w:pPr>
          <w:hyperlink w:anchor="_Toc161160495" w:history="1">
            <w:r w:rsidRPr="00561A83">
              <w:rPr>
                <w:rStyle w:val="Lienhypertexte"/>
                <w:rFonts w:ascii="Century Gothic" w:hAnsi="Century Gothic"/>
                <w:noProof/>
                <w:sz w:val="22"/>
                <w:szCs w:val="22"/>
              </w:rPr>
              <w:t>Proportion d’investissement</w:t>
            </w:r>
            <w:r w:rsidRPr="00561A83">
              <w:rPr>
                <w:rFonts w:ascii="Century Gothic" w:hAnsi="Century Gothic"/>
                <w:noProof/>
                <w:webHidden/>
                <w:sz w:val="22"/>
                <w:szCs w:val="22"/>
              </w:rPr>
              <w:tab/>
            </w:r>
            <w:r w:rsidRPr="00561A83">
              <w:rPr>
                <w:rFonts w:ascii="Century Gothic" w:hAnsi="Century Gothic"/>
                <w:noProof/>
                <w:webHidden/>
                <w:sz w:val="22"/>
                <w:szCs w:val="22"/>
              </w:rPr>
              <w:fldChar w:fldCharType="begin"/>
            </w:r>
            <w:r w:rsidRPr="00561A83">
              <w:rPr>
                <w:rFonts w:ascii="Century Gothic" w:hAnsi="Century Gothic"/>
                <w:noProof/>
                <w:webHidden/>
                <w:sz w:val="22"/>
                <w:szCs w:val="22"/>
              </w:rPr>
              <w:instrText xml:space="preserve"> PAGEREF _Toc161160495 \h </w:instrText>
            </w:r>
            <w:r w:rsidRPr="00561A83">
              <w:rPr>
                <w:rFonts w:ascii="Century Gothic" w:hAnsi="Century Gothic"/>
                <w:noProof/>
                <w:webHidden/>
                <w:sz w:val="22"/>
                <w:szCs w:val="22"/>
              </w:rPr>
            </w:r>
            <w:r w:rsidRPr="00561A83">
              <w:rPr>
                <w:rFonts w:ascii="Century Gothic" w:hAnsi="Century Gothic"/>
                <w:noProof/>
                <w:webHidden/>
                <w:sz w:val="22"/>
                <w:szCs w:val="22"/>
              </w:rPr>
              <w:fldChar w:fldCharType="separate"/>
            </w:r>
            <w:r w:rsidR="00A20849">
              <w:rPr>
                <w:rFonts w:ascii="Century Gothic" w:hAnsi="Century Gothic"/>
                <w:noProof/>
                <w:webHidden/>
                <w:sz w:val="22"/>
                <w:szCs w:val="22"/>
              </w:rPr>
              <w:t>7</w:t>
            </w:r>
            <w:r w:rsidRPr="00561A83">
              <w:rPr>
                <w:rFonts w:ascii="Century Gothic" w:hAnsi="Century Gothic"/>
                <w:noProof/>
                <w:webHidden/>
                <w:sz w:val="22"/>
                <w:szCs w:val="22"/>
              </w:rPr>
              <w:fldChar w:fldCharType="end"/>
            </w:r>
          </w:hyperlink>
        </w:p>
        <w:p w14:paraId="66BBDA24" w14:textId="7F1363A9" w:rsidR="00561A83" w:rsidRPr="00561A83" w:rsidRDefault="00561A83">
          <w:pPr>
            <w:pStyle w:val="TM1"/>
            <w:rPr>
              <w:rFonts w:ascii="Century Gothic" w:eastAsiaTheme="minorEastAsia" w:hAnsi="Century Gothic"/>
              <w:noProof/>
              <w:kern w:val="2"/>
              <w:sz w:val="22"/>
              <w:szCs w:val="22"/>
              <w:lang w:eastAsia="fr-FR"/>
              <w14:ligatures w14:val="standardContextual"/>
            </w:rPr>
          </w:pPr>
          <w:hyperlink w:anchor="_Toc161160496" w:history="1">
            <w:r w:rsidRPr="00561A83">
              <w:rPr>
                <w:rStyle w:val="Lienhypertexte"/>
                <w:rFonts w:ascii="Century Gothic" w:hAnsi="Century Gothic"/>
                <w:noProof/>
                <w:sz w:val="22"/>
                <w:szCs w:val="22"/>
              </w:rPr>
              <w:t>Contrôle des caractéristiques environnementales ou sociales</w:t>
            </w:r>
            <w:r w:rsidRPr="00561A83">
              <w:rPr>
                <w:rFonts w:ascii="Century Gothic" w:hAnsi="Century Gothic"/>
                <w:noProof/>
                <w:webHidden/>
                <w:sz w:val="22"/>
                <w:szCs w:val="22"/>
              </w:rPr>
              <w:tab/>
            </w:r>
            <w:r w:rsidRPr="00561A83">
              <w:rPr>
                <w:rFonts w:ascii="Century Gothic" w:hAnsi="Century Gothic"/>
                <w:noProof/>
                <w:webHidden/>
                <w:sz w:val="22"/>
                <w:szCs w:val="22"/>
              </w:rPr>
              <w:fldChar w:fldCharType="begin"/>
            </w:r>
            <w:r w:rsidRPr="00561A83">
              <w:rPr>
                <w:rFonts w:ascii="Century Gothic" w:hAnsi="Century Gothic"/>
                <w:noProof/>
                <w:webHidden/>
                <w:sz w:val="22"/>
                <w:szCs w:val="22"/>
              </w:rPr>
              <w:instrText xml:space="preserve"> PAGEREF _Toc161160496 \h </w:instrText>
            </w:r>
            <w:r w:rsidRPr="00561A83">
              <w:rPr>
                <w:rFonts w:ascii="Century Gothic" w:hAnsi="Century Gothic"/>
                <w:noProof/>
                <w:webHidden/>
                <w:sz w:val="22"/>
                <w:szCs w:val="22"/>
              </w:rPr>
            </w:r>
            <w:r w:rsidRPr="00561A83">
              <w:rPr>
                <w:rFonts w:ascii="Century Gothic" w:hAnsi="Century Gothic"/>
                <w:noProof/>
                <w:webHidden/>
                <w:sz w:val="22"/>
                <w:szCs w:val="22"/>
              </w:rPr>
              <w:fldChar w:fldCharType="separate"/>
            </w:r>
            <w:r w:rsidR="00A20849">
              <w:rPr>
                <w:rFonts w:ascii="Century Gothic" w:hAnsi="Century Gothic"/>
                <w:noProof/>
                <w:webHidden/>
                <w:sz w:val="22"/>
                <w:szCs w:val="22"/>
              </w:rPr>
              <w:t>7</w:t>
            </w:r>
            <w:r w:rsidRPr="00561A83">
              <w:rPr>
                <w:rFonts w:ascii="Century Gothic" w:hAnsi="Century Gothic"/>
                <w:noProof/>
                <w:webHidden/>
                <w:sz w:val="22"/>
                <w:szCs w:val="22"/>
              </w:rPr>
              <w:fldChar w:fldCharType="end"/>
            </w:r>
          </w:hyperlink>
        </w:p>
        <w:p w14:paraId="4FAC85AC" w14:textId="1A58B0DA" w:rsidR="00561A83" w:rsidRPr="00561A83" w:rsidRDefault="00561A83">
          <w:pPr>
            <w:pStyle w:val="TM1"/>
            <w:rPr>
              <w:rFonts w:ascii="Century Gothic" w:eastAsiaTheme="minorEastAsia" w:hAnsi="Century Gothic"/>
              <w:noProof/>
              <w:kern w:val="2"/>
              <w:sz w:val="22"/>
              <w:szCs w:val="22"/>
              <w:lang w:eastAsia="fr-FR"/>
              <w14:ligatures w14:val="standardContextual"/>
            </w:rPr>
          </w:pPr>
          <w:hyperlink w:anchor="_Toc161160497" w:history="1">
            <w:r w:rsidRPr="00561A83">
              <w:rPr>
                <w:rStyle w:val="Lienhypertexte"/>
                <w:rFonts w:ascii="Century Gothic" w:hAnsi="Century Gothic"/>
                <w:noProof/>
                <w:sz w:val="22"/>
                <w:szCs w:val="22"/>
              </w:rPr>
              <w:t>Méthodes</w:t>
            </w:r>
            <w:r w:rsidRPr="00561A83">
              <w:rPr>
                <w:rFonts w:ascii="Century Gothic" w:hAnsi="Century Gothic"/>
                <w:noProof/>
                <w:webHidden/>
                <w:sz w:val="22"/>
                <w:szCs w:val="22"/>
              </w:rPr>
              <w:tab/>
            </w:r>
            <w:r w:rsidRPr="00561A83">
              <w:rPr>
                <w:rFonts w:ascii="Century Gothic" w:hAnsi="Century Gothic"/>
                <w:noProof/>
                <w:webHidden/>
                <w:sz w:val="22"/>
                <w:szCs w:val="22"/>
              </w:rPr>
              <w:fldChar w:fldCharType="begin"/>
            </w:r>
            <w:r w:rsidRPr="00561A83">
              <w:rPr>
                <w:rFonts w:ascii="Century Gothic" w:hAnsi="Century Gothic"/>
                <w:noProof/>
                <w:webHidden/>
                <w:sz w:val="22"/>
                <w:szCs w:val="22"/>
              </w:rPr>
              <w:instrText xml:space="preserve"> PAGEREF _Toc161160497 \h </w:instrText>
            </w:r>
            <w:r w:rsidRPr="00561A83">
              <w:rPr>
                <w:rFonts w:ascii="Century Gothic" w:hAnsi="Century Gothic"/>
                <w:noProof/>
                <w:webHidden/>
                <w:sz w:val="22"/>
                <w:szCs w:val="22"/>
              </w:rPr>
            </w:r>
            <w:r w:rsidRPr="00561A83">
              <w:rPr>
                <w:rFonts w:ascii="Century Gothic" w:hAnsi="Century Gothic"/>
                <w:noProof/>
                <w:webHidden/>
                <w:sz w:val="22"/>
                <w:szCs w:val="22"/>
              </w:rPr>
              <w:fldChar w:fldCharType="separate"/>
            </w:r>
            <w:r w:rsidR="00A20849">
              <w:rPr>
                <w:rFonts w:ascii="Century Gothic" w:hAnsi="Century Gothic"/>
                <w:noProof/>
                <w:webHidden/>
                <w:sz w:val="22"/>
                <w:szCs w:val="22"/>
              </w:rPr>
              <w:t>7</w:t>
            </w:r>
            <w:r w:rsidRPr="00561A83">
              <w:rPr>
                <w:rFonts w:ascii="Century Gothic" w:hAnsi="Century Gothic"/>
                <w:noProof/>
                <w:webHidden/>
                <w:sz w:val="22"/>
                <w:szCs w:val="22"/>
              </w:rPr>
              <w:fldChar w:fldCharType="end"/>
            </w:r>
          </w:hyperlink>
        </w:p>
        <w:p w14:paraId="2890F539" w14:textId="30810A26" w:rsidR="00561A83" w:rsidRPr="00561A83" w:rsidRDefault="00561A83">
          <w:pPr>
            <w:pStyle w:val="TM1"/>
            <w:rPr>
              <w:rFonts w:ascii="Century Gothic" w:eastAsiaTheme="minorEastAsia" w:hAnsi="Century Gothic"/>
              <w:noProof/>
              <w:kern w:val="2"/>
              <w:sz w:val="22"/>
              <w:szCs w:val="22"/>
              <w:lang w:eastAsia="fr-FR"/>
              <w14:ligatures w14:val="standardContextual"/>
            </w:rPr>
          </w:pPr>
          <w:hyperlink w:anchor="_Toc161160498" w:history="1">
            <w:r w:rsidRPr="00561A83">
              <w:rPr>
                <w:rStyle w:val="Lienhypertexte"/>
                <w:rFonts w:ascii="Century Gothic" w:hAnsi="Century Gothic"/>
                <w:noProof/>
                <w:sz w:val="22"/>
                <w:szCs w:val="22"/>
              </w:rPr>
              <w:t>Sources et traitement des données</w:t>
            </w:r>
            <w:r w:rsidRPr="00561A83">
              <w:rPr>
                <w:rFonts w:ascii="Century Gothic" w:hAnsi="Century Gothic"/>
                <w:noProof/>
                <w:webHidden/>
                <w:sz w:val="22"/>
                <w:szCs w:val="22"/>
              </w:rPr>
              <w:tab/>
            </w:r>
            <w:r w:rsidRPr="00561A83">
              <w:rPr>
                <w:rFonts w:ascii="Century Gothic" w:hAnsi="Century Gothic"/>
                <w:noProof/>
                <w:webHidden/>
                <w:sz w:val="22"/>
                <w:szCs w:val="22"/>
              </w:rPr>
              <w:fldChar w:fldCharType="begin"/>
            </w:r>
            <w:r w:rsidRPr="00561A83">
              <w:rPr>
                <w:rFonts w:ascii="Century Gothic" w:hAnsi="Century Gothic"/>
                <w:noProof/>
                <w:webHidden/>
                <w:sz w:val="22"/>
                <w:szCs w:val="22"/>
              </w:rPr>
              <w:instrText xml:space="preserve"> PAGEREF _Toc161160498 \h </w:instrText>
            </w:r>
            <w:r w:rsidRPr="00561A83">
              <w:rPr>
                <w:rFonts w:ascii="Century Gothic" w:hAnsi="Century Gothic"/>
                <w:noProof/>
                <w:webHidden/>
                <w:sz w:val="22"/>
                <w:szCs w:val="22"/>
              </w:rPr>
            </w:r>
            <w:r w:rsidRPr="00561A83">
              <w:rPr>
                <w:rFonts w:ascii="Century Gothic" w:hAnsi="Century Gothic"/>
                <w:noProof/>
                <w:webHidden/>
                <w:sz w:val="22"/>
                <w:szCs w:val="22"/>
              </w:rPr>
              <w:fldChar w:fldCharType="separate"/>
            </w:r>
            <w:r w:rsidR="00A20849">
              <w:rPr>
                <w:rFonts w:ascii="Century Gothic" w:hAnsi="Century Gothic"/>
                <w:noProof/>
                <w:webHidden/>
                <w:sz w:val="22"/>
                <w:szCs w:val="22"/>
              </w:rPr>
              <w:t>7</w:t>
            </w:r>
            <w:r w:rsidRPr="00561A83">
              <w:rPr>
                <w:rFonts w:ascii="Century Gothic" w:hAnsi="Century Gothic"/>
                <w:noProof/>
                <w:webHidden/>
                <w:sz w:val="22"/>
                <w:szCs w:val="22"/>
              </w:rPr>
              <w:fldChar w:fldCharType="end"/>
            </w:r>
          </w:hyperlink>
        </w:p>
        <w:p w14:paraId="5C1C4819" w14:textId="7F3FDB3E" w:rsidR="00561A83" w:rsidRPr="00561A83" w:rsidRDefault="00561A83">
          <w:pPr>
            <w:pStyle w:val="TM1"/>
            <w:rPr>
              <w:rFonts w:ascii="Century Gothic" w:eastAsiaTheme="minorEastAsia" w:hAnsi="Century Gothic"/>
              <w:noProof/>
              <w:kern w:val="2"/>
              <w:sz w:val="22"/>
              <w:szCs w:val="22"/>
              <w:lang w:eastAsia="fr-FR"/>
              <w14:ligatures w14:val="standardContextual"/>
            </w:rPr>
          </w:pPr>
          <w:hyperlink w:anchor="_Toc161160499" w:history="1">
            <w:r w:rsidRPr="00561A83">
              <w:rPr>
                <w:rStyle w:val="Lienhypertexte"/>
                <w:rFonts w:ascii="Century Gothic" w:hAnsi="Century Gothic"/>
                <w:noProof/>
                <w:sz w:val="22"/>
                <w:szCs w:val="22"/>
              </w:rPr>
              <w:t>Limites aux méthodes et aux données</w:t>
            </w:r>
            <w:r w:rsidRPr="00561A83">
              <w:rPr>
                <w:rFonts w:ascii="Century Gothic" w:hAnsi="Century Gothic"/>
                <w:noProof/>
                <w:webHidden/>
                <w:sz w:val="22"/>
                <w:szCs w:val="22"/>
              </w:rPr>
              <w:tab/>
            </w:r>
            <w:r w:rsidRPr="00561A83">
              <w:rPr>
                <w:rFonts w:ascii="Century Gothic" w:hAnsi="Century Gothic"/>
                <w:noProof/>
                <w:webHidden/>
                <w:sz w:val="22"/>
                <w:szCs w:val="22"/>
              </w:rPr>
              <w:fldChar w:fldCharType="begin"/>
            </w:r>
            <w:r w:rsidRPr="00561A83">
              <w:rPr>
                <w:rFonts w:ascii="Century Gothic" w:hAnsi="Century Gothic"/>
                <w:noProof/>
                <w:webHidden/>
                <w:sz w:val="22"/>
                <w:szCs w:val="22"/>
              </w:rPr>
              <w:instrText xml:space="preserve"> PAGEREF _Toc161160499 \h </w:instrText>
            </w:r>
            <w:r w:rsidRPr="00561A83">
              <w:rPr>
                <w:rFonts w:ascii="Century Gothic" w:hAnsi="Century Gothic"/>
                <w:noProof/>
                <w:webHidden/>
                <w:sz w:val="22"/>
                <w:szCs w:val="22"/>
              </w:rPr>
            </w:r>
            <w:r w:rsidRPr="00561A83">
              <w:rPr>
                <w:rFonts w:ascii="Century Gothic" w:hAnsi="Century Gothic"/>
                <w:noProof/>
                <w:webHidden/>
                <w:sz w:val="22"/>
                <w:szCs w:val="22"/>
              </w:rPr>
              <w:fldChar w:fldCharType="separate"/>
            </w:r>
            <w:r w:rsidR="00A20849">
              <w:rPr>
                <w:rFonts w:ascii="Century Gothic" w:hAnsi="Century Gothic"/>
                <w:noProof/>
                <w:webHidden/>
                <w:sz w:val="22"/>
                <w:szCs w:val="22"/>
              </w:rPr>
              <w:t>8</w:t>
            </w:r>
            <w:r w:rsidRPr="00561A83">
              <w:rPr>
                <w:rFonts w:ascii="Century Gothic" w:hAnsi="Century Gothic"/>
                <w:noProof/>
                <w:webHidden/>
                <w:sz w:val="22"/>
                <w:szCs w:val="22"/>
              </w:rPr>
              <w:fldChar w:fldCharType="end"/>
            </w:r>
          </w:hyperlink>
        </w:p>
        <w:p w14:paraId="4406D05B" w14:textId="32D6347D" w:rsidR="00561A83" w:rsidRPr="00561A83" w:rsidRDefault="00561A83">
          <w:pPr>
            <w:pStyle w:val="TM1"/>
            <w:rPr>
              <w:rFonts w:ascii="Century Gothic" w:eastAsiaTheme="minorEastAsia" w:hAnsi="Century Gothic"/>
              <w:noProof/>
              <w:kern w:val="2"/>
              <w:sz w:val="22"/>
              <w:szCs w:val="22"/>
              <w:lang w:eastAsia="fr-FR"/>
              <w14:ligatures w14:val="standardContextual"/>
            </w:rPr>
          </w:pPr>
          <w:hyperlink w:anchor="_Toc161160500" w:history="1">
            <w:r w:rsidRPr="00561A83">
              <w:rPr>
                <w:rStyle w:val="Lienhypertexte"/>
                <w:rFonts w:ascii="Century Gothic" w:hAnsi="Century Gothic"/>
                <w:noProof/>
                <w:sz w:val="22"/>
                <w:szCs w:val="22"/>
              </w:rPr>
              <w:t>Diligence raisonnable</w:t>
            </w:r>
            <w:r w:rsidRPr="00561A83">
              <w:rPr>
                <w:rFonts w:ascii="Century Gothic" w:hAnsi="Century Gothic"/>
                <w:noProof/>
                <w:webHidden/>
                <w:sz w:val="22"/>
                <w:szCs w:val="22"/>
              </w:rPr>
              <w:tab/>
            </w:r>
            <w:r w:rsidRPr="00561A83">
              <w:rPr>
                <w:rFonts w:ascii="Century Gothic" w:hAnsi="Century Gothic"/>
                <w:noProof/>
                <w:webHidden/>
                <w:sz w:val="22"/>
                <w:szCs w:val="22"/>
              </w:rPr>
              <w:fldChar w:fldCharType="begin"/>
            </w:r>
            <w:r w:rsidRPr="00561A83">
              <w:rPr>
                <w:rFonts w:ascii="Century Gothic" w:hAnsi="Century Gothic"/>
                <w:noProof/>
                <w:webHidden/>
                <w:sz w:val="22"/>
                <w:szCs w:val="22"/>
              </w:rPr>
              <w:instrText xml:space="preserve"> PAGEREF _Toc161160500 \h </w:instrText>
            </w:r>
            <w:r w:rsidRPr="00561A83">
              <w:rPr>
                <w:rFonts w:ascii="Century Gothic" w:hAnsi="Century Gothic"/>
                <w:noProof/>
                <w:webHidden/>
                <w:sz w:val="22"/>
                <w:szCs w:val="22"/>
              </w:rPr>
            </w:r>
            <w:r w:rsidRPr="00561A83">
              <w:rPr>
                <w:rFonts w:ascii="Century Gothic" w:hAnsi="Century Gothic"/>
                <w:noProof/>
                <w:webHidden/>
                <w:sz w:val="22"/>
                <w:szCs w:val="22"/>
              </w:rPr>
              <w:fldChar w:fldCharType="separate"/>
            </w:r>
            <w:r w:rsidR="00A20849">
              <w:rPr>
                <w:rFonts w:ascii="Century Gothic" w:hAnsi="Century Gothic"/>
                <w:noProof/>
                <w:webHidden/>
                <w:sz w:val="22"/>
                <w:szCs w:val="22"/>
              </w:rPr>
              <w:t>8</w:t>
            </w:r>
            <w:r w:rsidRPr="00561A83">
              <w:rPr>
                <w:rFonts w:ascii="Century Gothic" w:hAnsi="Century Gothic"/>
                <w:noProof/>
                <w:webHidden/>
                <w:sz w:val="22"/>
                <w:szCs w:val="22"/>
              </w:rPr>
              <w:fldChar w:fldCharType="end"/>
            </w:r>
          </w:hyperlink>
        </w:p>
        <w:p w14:paraId="547414C4" w14:textId="009979EB" w:rsidR="00561A83" w:rsidRPr="00561A83" w:rsidRDefault="00561A83">
          <w:pPr>
            <w:pStyle w:val="TM1"/>
            <w:rPr>
              <w:rFonts w:ascii="Century Gothic" w:eastAsiaTheme="minorEastAsia" w:hAnsi="Century Gothic"/>
              <w:noProof/>
              <w:kern w:val="2"/>
              <w:sz w:val="22"/>
              <w:szCs w:val="22"/>
              <w:lang w:eastAsia="fr-FR"/>
              <w14:ligatures w14:val="standardContextual"/>
            </w:rPr>
          </w:pPr>
          <w:hyperlink w:anchor="_Toc161160501" w:history="1">
            <w:r w:rsidRPr="00561A83">
              <w:rPr>
                <w:rStyle w:val="Lienhypertexte"/>
                <w:rFonts w:ascii="Century Gothic" w:hAnsi="Century Gothic"/>
                <w:noProof/>
                <w:sz w:val="22"/>
                <w:szCs w:val="22"/>
              </w:rPr>
              <w:t>Politiques d’engagement</w:t>
            </w:r>
            <w:r w:rsidRPr="00561A83">
              <w:rPr>
                <w:rFonts w:ascii="Century Gothic" w:hAnsi="Century Gothic"/>
                <w:noProof/>
                <w:webHidden/>
                <w:sz w:val="22"/>
                <w:szCs w:val="22"/>
              </w:rPr>
              <w:tab/>
            </w:r>
            <w:r w:rsidRPr="00561A83">
              <w:rPr>
                <w:rFonts w:ascii="Century Gothic" w:hAnsi="Century Gothic"/>
                <w:noProof/>
                <w:webHidden/>
                <w:sz w:val="22"/>
                <w:szCs w:val="22"/>
              </w:rPr>
              <w:fldChar w:fldCharType="begin"/>
            </w:r>
            <w:r w:rsidRPr="00561A83">
              <w:rPr>
                <w:rFonts w:ascii="Century Gothic" w:hAnsi="Century Gothic"/>
                <w:noProof/>
                <w:webHidden/>
                <w:sz w:val="22"/>
                <w:szCs w:val="22"/>
              </w:rPr>
              <w:instrText xml:space="preserve"> PAGEREF _Toc161160501 \h </w:instrText>
            </w:r>
            <w:r w:rsidRPr="00561A83">
              <w:rPr>
                <w:rFonts w:ascii="Century Gothic" w:hAnsi="Century Gothic"/>
                <w:noProof/>
                <w:webHidden/>
                <w:sz w:val="22"/>
                <w:szCs w:val="22"/>
              </w:rPr>
            </w:r>
            <w:r w:rsidRPr="00561A83">
              <w:rPr>
                <w:rFonts w:ascii="Century Gothic" w:hAnsi="Century Gothic"/>
                <w:noProof/>
                <w:webHidden/>
                <w:sz w:val="22"/>
                <w:szCs w:val="22"/>
              </w:rPr>
              <w:fldChar w:fldCharType="separate"/>
            </w:r>
            <w:r w:rsidR="00A20849">
              <w:rPr>
                <w:rFonts w:ascii="Century Gothic" w:hAnsi="Century Gothic"/>
                <w:noProof/>
                <w:webHidden/>
                <w:sz w:val="22"/>
                <w:szCs w:val="22"/>
              </w:rPr>
              <w:t>10</w:t>
            </w:r>
            <w:r w:rsidRPr="00561A83">
              <w:rPr>
                <w:rFonts w:ascii="Century Gothic" w:hAnsi="Century Gothic"/>
                <w:noProof/>
                <w:webHidden/>
                <w:sz w:val="22"/>
                <w:szCs w:val="22"/>
              </w:rPr>
              <w:fldChar w:fldCharType="end"/>
            </w:r>
          </w:hyperlink>
        </w:p>
        <w:p w14:paraId="044D77A7" w14:textId="242F5024" w:rsidR="00561A83" w:rsidRPr="00561A83" w:rsidRDefault="00561A83">
          <w:pPr>
            <w:pStyle w:val="TM1"/>
            <w:rPr>
              <w:rFonts w:ascii="Century Gothic" w:eastAsiaTheme="minorEastAsia" w:hAnsi="Century Gothic"/>
              <w:noProof/>
              <w:kern w:val="2"/>
              <w:sz w:val="22"/>
              <w:szCs w:val="22"/>
              <w:lang w:eastAsia="fr-FR"/>
              <w14:ligatures w14:val="standardContextual"/>
            </w:rPr>
          </w:pPr>
          <w:hyperlink w:anchor="_Toc161160502" w:history="1">
            <w:r w:rsidRPr="00561A83">
              <w:rPr>
                <w:rStyle w:val="Lienhypertexte"/>
                <w:rFonts w:ascii="Century Gothic" w:hAnsi="Century Gothic"/>
                <w:noProof/>
                <w:sz w:val="22"/>
                <w:szCs w:val="22"/>
              </w:rPr>
              <w:t>Indice de référence désigné</w:t>
            </w:r>
            <w:r w:rsidRPr="00561A83">
              <w:rPr>
                <w:rFonts w:ascii="Century Gothic" w:hAnsi="Century Gothic"/>
                <w:noProof/>
                <w:webHidden/>
                <w:sz w:val="22"/>
                <w:szCs w:val="22"/>
              </w:rPr>
              <w:tab/>
            </w:r>
            <w:r w:rsidRPr="00561A83">
              <w:rPr>
                <w:rFonts w:ascii="Century Gothic" w:hAnsi="Century Gothic"/>
                <w:noProof/>
                <w:webHidden/>
                <w:sz w:val="22"/>
                <w:szCs w:val="22"/>
              </w:rPr>
              <w:fldChar w:fldCharType="begin"/>
            </w:r>
            <w:r w:rsidRPr="00561A83">
              <w:rPr>
                <w:rFonts w:ascii="Century Gothic" w:hAnsi="Century Gothic"/>
                <w:noProof/>
                <w:webHidden/>
                <w:sz w:val="22"/>
                <w:szCs w:val="22"/>
              </w:rPr>
              <w:instrText xml:space="preserve"> PAGEREF _Toc161160502 \h </w:instrText>
            </w:r>
            <w:r w:rsidRPr="00561A83">
              <w:rPr>
                <w:rFonts w:ascii="Century Gothic" w:hAnsi="Century Gothic"/>
                <w:noProof/>
                <w:webHidden/>
                <w:sz w:val="22"/>
                <w:szCs w:val="22"/>
              </w:rPr>
            </w:r>
            <w:r w:rsidRPr="00561A83">
              <w:rPr>
                <w:rFonts w:ascii="Century Gothic" w:hAnsi="Century Gothic"/>
                <w:noProof/>
                <w:webHidden/>
                <w:sz w:val="22"/>
                <w:szCs w:val="22"/>
              </w:rPr>
              <w:fldChar w:fldCharType="separate"/>
            </w:r>
            <w:r w:rsidR="00A20849">
              <w:rPr>
                <w:rFonts w:ascii="Century Gothic" w:hAnsi="Century Gothic"/>
                <w:noProof/>
                <w:webHidden/>
                <w:sz w:val="22"/>
                <w:szCs w:val="22"/>
              </w:rPr>
              <w:t>10</w:t>
            </w:r>
            <w:r w:rsidRPr="00561A83">
              <w:rPr>
                <w:rFonts w:ascii="Century Gothic" w:hAnsi="Century Gothic"/>
                <w:noProof/>
                <w:webHidden/>
                <w:sz w:val="22"/>
                <w:szCs w:val="22"/>
              </w:rPr>
              <w:fldChar w:fldCharType="end"/>
            </w:r>
          </w:hyperlink>
        </w:p>
        <w:p w14:paraId="7CE43A9D" w14:textId="2AF3E9FB" w:rsidR="0010043C" w:rsidRPr="00767B58" w:rsidRDefault="0010043C">
          <w:pPr>
            <w:rPr>
              <w:rFonts w:ascii="Century Gothic" w:hAnsi="Century Gothic"/>
            </w:rPr>
          </w:pPr>
          <w:r w:rsidRPr="00561A83">
            <w:rPr>
              <w:rFonts w:ascii="Century Gothic" w:hAnsi="Century Gothic"/>
              <w:b/>
              <w:bCs/>
              <w:sz w:val="22"/>
              <w:szCs w:val="22"/>
            </w:rPr>
            <w:fldChar w:fldCharType="end"/>
          </w:r>
        </w:p>
      </w:sdtContent>
    </w:sdt>
    <w:p w14:paraId="5293F23C" w14:textId="77777777" w:rsidR="0010043C" w:rsidRDefault="0010043C">
      <w:pPr>
        <w:spacing w:after="160" w:line="259" w:lineRule="auto"/>
        <w:jc w:val="left"/>
        <w:rPr>
          <w:rFonts w:ascii="Century Gothic" w:eastAsiaTheme="minorEastAsia" w:hAnsi="Century Gothic"/>
          <w:b/>
          <w:color w:val="FFFFFF" w:themeColor="background1"/>
          <w:spacing w:val="15"/>
          <w:szCs w:val="22"/>
        </w:rPr>
      </w:pPr>
      <w:r>
        <w:rPr>
          <w:rFonts w:ascii="Century Gothic" w:hAnsi="Century Gothic"/>
        </w:rPr>
        <w:br w:type="page"/>
      </w:r>
    </w:p>
    <w:p w14:paraId="46401F11" w14:textId="4E0CBABF" w:rsidR="001272A7" w:rsidRPr="000E407C" w:rsidRDefault="0010043C" w:rsidP="000E407C">
      <w:pPr>
        <w:pStyle w:val="Titre1"/>
        <w:shd w:val="clear" w:color="auto" w:fill="1B2D51"/>
        <w:rPr>
          <w:rFonts w:ascii="Century Gothic" w:hAnsi="Century Gothic"/>
        </w:rPr>
      </w:pPr>
      <w:bookmarkStart w:id="0" w:name="_Toc161160487"/>
      <w:r>
        <w:rPr>
          <w:rFonts w:ascii="Century Gothic" w:hAnsi="Century Gothic"/>
        </w:rPr>
        <w:lastRenderedPageBreak/>
        <w:t>Résumé</w:t>
      </w:r>
      <w:bookmarkEnd w:id="0"/>
    </w:p>
    <w:p w14:paraId="31A3534E" w14:textId="7C20AB56" w:rsidR="00C8544A" w:rsidRPr="00EB39B8" w:rsidRDefault="00E91A80" w:rsidP="002666B6">
      <w:r>
        <w:t>Alpha Convictions</w:t>
      </w:r>
      <w:r w:rsidR="00B1489B">
        <w:t xml:space="preserve"> Obligataire</w:t>
      </w:r>
      <w:r w:rsidR="00995569">
        <w:t xml:space="preserve"> </w:t>
      </w:r>
      <w:r w:rsidR="009B15B1" w:rsidRPr="00EB39B8">
        <w:t xml:space="preserve">n’a pas d’objectif d’investissement durable mais </w:t>
      </w:r>
      <w:r w:rsidR="004948B8" w:rsidRPr="00EB39B8">
        <w:t>promeut des caractéristiques environnementales et/ou sociales</w:t>
      </w:r>
      <w:r w:rsidR="009B15B1" w:rsidRPr="00EB39B8">
        <w:t xml:space="preserve"> </w:t>
      </w:r>
      <w:r w:rsidR="00077282" w:rsidRPr="00EB39B8">
        <w:t xml:space="preserve">en investissant dans des entreprises présentant des profils ESG jugés supérieurs </w:t>
      </w:r>
      <w:r w:rsidR="002D5102" w:rsidRPr="00EB39B8">
        <w:t xml:space="preserve">grâce à </w:t>
      </w:r>
      <w:r w:rsidR="00077282" w:rsidRPr="00EB39B8">
        <w:t>une double sélection :</w:t>
      </w:r>
    </w:p>
    <w:p w14:paraId="3FB14AFE" w14:textId="77777777" w:rsidR="00E9099A" w:rsidRDefault="00E9099A" w:rsidP="00E9099A">
      <w:pPr>
        <w:pStyle w:val="Paragraphedeliste"/>
        <w:ind w:left="0"/>
      </w:pPr>
    </w:p>
    <w:p w14:paraId="0F96D34F" w14:textId="77777777" w:rsidR="00E9099A" w:rsidRPr="0064257D" w:rsidRDefault="00E9099A" w:rsidP="00E9099A">
      <w:pPr>
        <w:pStyle w:val="Paragraphedeliste"/>
        <w:ind w:left="0"/>
        <w:rPr>
          <w:highlight w:val="yellow"/>
          <w:u w:val="single"/>
        </w:rPr>
      </w:pPr>
      <w:r w:rsidRPr="0064257D">
        <w:rPr>
          <w:highlight w:val="yellow"/>
          <w:u w:val="single"/>
        </w:rPr>
        <w:t>Pour la partie du portefeuille investie en titres vifs :</w:t>
      </w:r>
    </w:p>
    <w:p w14:paraId="283539CB" w14:textId="77777777" w:rsidR="00E9099A" w:rsidRPr="0064257D" w:rsidRDefault="00E9099A" w:rsidP="00E9099A">
      <w:pPr>
        <w:pStyle w:val="Paragraphedeliste"/>
        <w:numPr>
          <w:ilvl w:val="0"/>
          <w:numId w:val="28"/>
        </w:numPr>
        <w:rPr>
          <w:highlight w:val="yellow"/>
        </w:rPr>
      </w:pPr>
      <w:r w:rsidRPr="0064257D">
        <w:rPr>
          <w:highlight w:val="yellow"/>
        </w:rPr>
        <w:t xml:space="preserve">En définissant une politique d’exclusion écartant les secteurs à fort impact climatique et/ou ne respectant pas les principes fondamentaux des droits de l’homme et/ou affectés de controverses jugées particulièrement graves par les comités interne Controverse et Réputation </w:t>
      </w:r>
    </w:p>
    <w:p w14:paraId="1CF6EE26" w14:textId="46722795" w:rsidR="00E9099A" w:rsidRPr="0064257D" w:rsidRDefault="00E9099A" w:rsidP="00E9099A">
      <w:pPr>
        <w:pStyle w:val="Paragraphedeliste"/>
        <w:numPr>
          <w:ilvl w:val="0"/>
          <w:numId w:val="28"/>
        </w:numPr>
        <w:rPr>
          <w:highlight w:val="yellow"/>
        </w:rPr>
      </w:pPr>
      <w:r w:rsidRPr="0064257D">
        <w:rPr>
          <w:highlight w:val="yellow"/>
        </w:rPr>
        <w:t>En éliminant 20% des valeurs composant son univers d’investissement en se basant sur les notes de notre prestataire MSCI de chaque poche</w:t>
      </w:r>
      <w:r>
        <w:rPr>
          <w:highlight w:val="yellow"/>
        </w:rPr>
        <w:t>.</w:t>
      </w:r>
      <w:r w:rsidRPr="0064257D">
        <w:rPr>
          <w:highlight w:val="yellow"/>
        </w:rPr>
        <w:t xml:space="preserve"> </w:t>
      </w:r>
    </w:p>
    <w:p w14:paraId="481AF3A2" w14:textId="77777777" w:rsidR="00E9099A" w:rsidRDefault="00E9099A" w:rsidP="00E9099A">
      <w:pPr>
        <w:pStyle w:val="Paragraphedeliste"/>
        <w:ind w:left="0"/>
        <w:rPr>
          <w:highlight w:val="yellow"/>
          <w:u w:val="single"/>
        </w:rPr>
      </w:pPr>
    </w:p>
    <w:p w14:paraId="4D0160CC" w14:textId="77777777" w:rsidR="00E9099A" w:rsidRPr="0064257D" w:rsidRDefault="00E9099A" w:rsidP="00E9099A">
      <w:pPr>
        <w:pStyle w:val="Paragraphedeliste"/>
        <w:ind w:left="0"/>
        <w:rPr>
          <w:highlight w:val="yellow"/>
          <w:u w:val="single"/>
        </w:rPr>
      </w:pPr>
      <w:r w:rsidRPr="0064257D">
        <w:rPr>
          <w:highlight w:val="yellow"/>
          <w:u w:val="single"/>
        </w:rPr>
        <w:t>Pour la partie investie en OPC, ETF/trackers, :</w:t>
      </w:r>
    </w:p>
    <w:p w14:paraId="48EB4EDF" w14:textId="77777777" w:rsidR="00E9099A" w:rsidRDefault="00E9099A" w:rsidP="00E9099A">
      <w:pPr>
        <w:pStyle w:val="Paragraphedeliste"/>
        <w:numPr>
          <w:ilvl w:val="0"/>
          <w:numId w:val="42"/>
        </w:numPr>
        <w:rPr>
          <w:highlight w:val="yellow"/>
        </w:rPr>
      </w:pPr>
      <w:r w:rsidRPr="0064257D">
        <w:rPr>
          <w:highlight w:val="yellow"/>
        </w:rPr>
        <w:t xml:space="preserve">En investissant principalement dans des OPC, ETF/trackers classés article 8 ou article 9 au sens du règlement </w:t>
      </w:r>
      <w:r>
        <w:rPr>
          <w:highlight w:val="yellow"/>
        </w:rPr>
        <w:t>SFDR</w:t>
      </w:r>
      <w:r w:rsidRPr="0064257D">
        <w:rPr>
          <w:highlight w:val="yellow"/>
        </w:rPr>
        <w:t xml:space="preserve">. </w:t>
      </w:r>
    </w:p>
    <w:p w14:paraId="5EC1A8B6" w14:textId="77777777" w:rsidR="00E9099A" w:rsidRPr="0064257D" w:rsidRDefault="00E9099A" w:rsidP="00E9099A">
      <w:pPr>
        <w:pStyle w:val="Paragraphedeliste"/>
        <w:rPr>
          <w:highlight w:val="yellow"/>
        </w:rPr>
      </w:pPr>
    </w:p>
    <w:p w14:paraId="1FD7EAFC" w14:textId="52E84441" w:rsidR="00C8544A" w:rsidRPr="00EB39B8" w:rsidRDefault="00890EED" w:rsidP="00890EED">
      <w:r w:rsidRPr="00890EED">
        <w:t>Les équipes d’Amplegest ont conscience que l’approche retenue pour construire leur analyse ESG présente plusieurs limites notamment la disponibilité et la qualité des données ESG fournies par les fournisseurs de données. En pratique, certaines données ne sont actuellement pas ou peu disponibles</w:t>
      </w:r>
      <w:r w:rsidR="00C8544A" w:rsidRPr="00EB39B8">
        <w:t>.</w:t>
      </w:r>
      <w:r>
        <w:t xml:space="preserve"> </w:t>
      </w:r>
      <w:r w:rsidRPr="00890EED">
        <w:t>Les OPC et ETF sous-jacents sélectionnés peuvent mettre en œuvre des stratégies ESG différentes de celles mises en œuvre au sein du fonds.</w:t>
      </w:r>
    </w:p>
    <w:p w14:paraId="65878356" w14:textId="6187BAFF" w:rsidR="00787502" w:rsidRPr="00EB39B8" w:rsidRDefault="00787502" w:rsidP="00C8544A">
      <w:r w:rsidRPr="00EB39B8">
        <w:t>A</w:t>
      </w:r>
      <w:r w:rsidR="00C8544A" w:rsidRPr="00EB39B8">
        <w:t xml:space="preserve">ucun benchmark de référence durable n'a été désigné afin d'atteindre les caractéristiques E/S promues par </w:t>
      </w:r>
      <w:r w:rsidR="00E91A80">
        <w:t>Alpha Convictions</w:t>
      </w:r>
      <w:r w:rsidR="00995569">
        <w:t xml:space="preserve"> </w:t>
      </w:r>
      <w:r w:rsidR="00077282" w:rsidRPr="00EB39B8">
        <w:t>mais la stratégie d’investissement intègre quatre contraintes principales :</w:t>
      </w:r>
    </w:p>
    <w:p w14:paraId="7FA5DD9E" w14:textId="77777777" w:rsidR="00787502" w:rsidRPr="00EB39B8" w:rsidRDefault="00787502" w:rsidP="00C8544A"/>
    <w:p w14:paraId="6AC8C040" w14:textId="77777777" w:rsidR="00E9099A" w:rsidRPr="00E9099A" w:rsidRDefault="00E9099A" w:rsidP="00E9099A">
      <w:pPr>
        <w:pStyle w:val="Paragraphedeliste"/>
        <w:numPr>
          <w:ilvl w:val="0"/>
          <w:numId w:val="21"/>
        </w:numPr>
        <w:rPr>
          <w:highlight w:val="yellow"/>
        </w:rPr>
      </w:pPr>
      <w:r w:rsidRPr="00E9099A">
        <w:rPr>
          <w:highlight w:val="yellow"/>
        </w:rPr>
        <w:t>L'application de la liste d'exclusion de la société Amplegest pour la partie du portefeuille investie en titres vifs (actions et obligations),</w:t>
      </w:r>
    </w:p>
    <w:p w14:paraId="328454D5" w14:textId="77777777" w:rsidR="00E9099A" w:rsidRPr="00E9099A" w:rsidRDefault="00E9099A" w:rsidP="00E9099A">
      <w:pPr>
        <w:pStyle w:val="Paragraphedeliste"/>
        <w:numPr>
          <w:ilvl w:val="0"/>
          <w:numId w:val="21"/>
        </w:numPr>
        <w:rPr>
          <w:highlight w:val="yellow"/>
        </w:rPr>
      </w:pPr>
      <w:r w:rsidRPr="00E9099A">
        <w:rPr>
          <w:highlight w:val="yellow"/>
        </w:rPr>
        <w:t>La prise en compte systématique de la notation ESG lors de l'analyse de chaque titre pour la partie du portefeuille investie en titres vifs (actions et obligations),</w:t>
      </w:r>
    </w:p>
    <w:p w14:paraId="19B73357" w14:textId="77777777" w:rsidR="00E9099A" w:rsidRPr="00E9099A" w:rsidRDefault="00E9099A" w:rsidP="00E9099A">
      <w:pPr>
        <w:pStyle w:val="Paragraphedeliste"/>
        <w:numPr>
          <w:ilvl w:val="0"/>
          <w:numId w:val="21"/>
        </w:numPr>
        <w:rPr>
          <w:highlight w:val="yellow"/>
        </w:rPr>
      </w:pPr>
      <w:r w:rsidRPr="00E9099A">
        <w:rPr>
          <w:highlight w:val="yellow"/>
        </w:rPr>
        <w:t xml:space="preserve">Au travers de titres vifs (actions et obligations), d’OPC et d’ETF/trackers classifiés article 8 ou article 9 au sens du règlement SFDR, le fonds investit au minimum 60% de son actif net dans des actifs ayant des caractéristiques environnementales et sociales. La portion restante des investissements correspondant à des dépôts, liquidités, fonds monétaires et instruments du marché monétaire ou encore des obligations d’Etats ou des instruments financiers dérivés utilisés à des fins de couverture et de gestion efficace du portefeuille ainsi que pour gérer la liquidité du fonds et réduire l’exposition à certains risques. </w:t>
      </w:r>
    </w:p>
    <w:p w14:paraId="243960C8" w14:textId="77777777" w:rsidR="00E9099A" w:rsidRPr="00E9099A" w:rsidRDefault="00E9099A" w:rsidP="00E9099A">
      <w:pPr>
        <w:pStyle w:val="Paragraphedeliste"/>
        <w:numPr>
          <w:ilvl w:val="0"/>
          <w:numId w:val="21"/>
        </w:numPr>
        <w:rPr>
          <w:highlight w:val="yellow"/>
        </w:rPr>
      </w:pPr>
      <w:r w:rsidRPr="00E9099A">
        <w:rPr>
          <w:highlight w:val="yellow"/>
        </w:rPr>
        <w:t xml:space="preserve">Pour la partie investie en titres vifs (actions et obligations) : exclusion de 20% de l’univers d’investissement (approche en sélectivité) en utilisant les données de MSCI.  </w:t>
      </w:r>
    </w:p>
    <w:p w14:paraId="0F242313" w14:textId="77777777" w:rsidR="00C8544A" w:rsidRPr="00EB39B8" w:rsidRDefault="00C8544A" w:rsidP="00C8544A"/>
    <w:p w14:paraId="78624F5D" w14:textId="77777777" w:rsidR="00C8544A" w:rsidRPr="00EB39B8" w:rsidRDefault="00C8544A" w:rsidP="00C8544A">
      <w:r w:rsidRPr="00EB39B8">
        <w:lastRenderedPageBreak/>
        <w:t xml:space="preserve">Tous les indicateurs clés ESG sont intégrés dans les outils de gestion et de suivi des risques. Le département des risques contrôle quotidiennement ces données. Par ailleurs, les équipes de gestion et ESG examinent la cohérence des données par une analyse discrétionnaire. </w:t>
      </w:r>
    </w:p>
    <w:p w14:paraId="44B080A3" w14:textId="77777777" w:rsidR="00C8544A" w:rsidRPr="00EB39B8" w:rsidRDefault="00C8544A" w:rsidP="00C8544A"/>
    <w:p w14:paraId="3CFAFB63" w14:textId="538FF51C" w:rsidR="002D5102" w:rsidRPr="00EB39B8" w:rsidRDefault="002D5102" w:rsidP="002D5102">
      <w:r w:rsidRPr="00EB39B8">
        <w:t xml:space="preserve">Amplegest a choisi d’exercer pleinement et de manière indépendante ses prérogatives d’actionnaire. Depuis le 1er janvier 2020, les équipes de gestion Actions votent sur l’ensemble des titres détenus en portefeuille </w:t>
      </w:r>
      <w:r w:rsidR="00767B58" w:rsidRPr="00EB39B8">
        <w:t xml:space="preserve">sauf contraintes techniques </w:t>
      </w:r>
      <w:r w:rsidRPr="00EB39B8">
        <w:t>et interagissent avec les sociétés de leur univers d’investissement au travers de lettres d’engagement ou d’actions collectives.</w:t>
      </w:r>
    </w:p>
    <w:p w14:paraId="01C8FF85" w14:textId="77777777" w:rsidR="002D5102" w:rsidRPr="00EB39B8" w:rsidRDefault="002D5102" w:rsidP="002666B6"/>
    <w:p w14:paraId="41D34DFD" w14:textId="780C69D0" w:rsidR="002578AE" w:rsidRPr="00EB39B8" w:rsidRDefault="0010043C" w:rsidP="000E407C">
      <w:pPr>
        <w:pStyle w:val="Titre1"/>
        <w:shd w:val="clear" w:color="auto" w:fill="1B2D51"/>
        <w:rPr>
          <w:rFonts w:ascii="Century Gothic" w:hAnsi="Century Gothic"/>
        </w:rPr>
      </w:pPr>
      <w:bookmarkStart w:id="1" w:name="_Toc161160488"/>
      <w:r w:rsidRPr="00EB39B8">
        <w:rPr>
          <w:rFonts w:ascii="Century Gothic" w:hAnsi="Century Gothic"/>
        </w:rPr>
        <w:t>Sans objectif d’investissement durable</w:t>
      </w:r>
      <w:bookmarkEnd w:id="1"/>
    </w:p>
    <w:p w14:paraId="52AB4CAA" w14:textId="7D9197E4" w:rsidR="00116BB8" w:rsidRPr="00EB39B8" w:rsidRDefault="00E91A80" w:rsidP="00116BB8">
      <w:r>
        <w:t>Alpha Convictions</w:t>
      </w:r>
      <w:r w:rsidR="00B1489B">
        <w:t xml:space="preserve"> Obligataire</w:t>
      </w:r>
      <w:r>
        <w:t xml:space="preserve"> </w:t>
      </w:r>
      <w:r w:rsidR="002C65B0" w:rsidRPr="00EB39B8">
        <w:t>promeu</w:t>
      </w:r>
      <w:r w:rsidR="005C5699" w:rsidRPr="00EB39B8">
        <w:t>t</w:t>
      </w:r>
      <w:r w:rsidR="002C65B0" w:rsidRPr="00EB39B8">
        <w:t xml:space="preserve"> des caractéristiques environnementales ou sociales, mais n’</w:t>
      </w:r>
      <w:r w:rsidR="001072DF" w:rsidRPr="00EB39B8">
        <w:t>a</w:t>
      </w:r>
      <w:r w:rsidR="002C65B0" w:rsidRPr="00EB39B8">
        <w:t xml:space="preserve"> pas </w:t>
      </w:r>
      <w:r w:rsidR="00CB75D1" w:rsidRPr="00EB39B8">
        <w:t>d’</w:t>
      </w:r>
      <w:r w:rsidR="002C65B0" w:rsidRPr="00EB39B8">
        <w:t xml:space="preserve">objectif </w:t>
      </w:r>
      <w:r w:rsidR="00CB75D1" w:rsidRPr="00EB39B8">
        <w:t>d</w:t>
      </w:r>
      <w:r w:rsidR="002C65B0" w:rsidRPr="00EB39B8">
        <w:t>’investissement durable.</w:t>
      </w:r>
    </w:p>
    <w:p w14:paraId="401B1C7D" w14:textId="1B289C30" w:rsidR="008F0967" w:rsidRPr="00EB39B8" w:rsidRDefault="008F0967" w:rsidP="00116BB8">
      <w:r w:rsidRPr="00EB39B8">
        <w:t>Les principales incidences négatives sont prises en compte dans les décisions d’investissement</w:t>
      </w:r>
      <w:r w:rsidR="00DF1BE1" w:rsidRPr="00EB39B8">
        <w:t xml:space="preserve"> de chaque fonds : </w:t>
      </w:r>
    </w:p>
    <w:p w14:paraId="3E0B93A4" w14:textId="77777777" w:rsidR="004441A4" w:rsidRPr="00EB39B8" w:rsidRDefault="004441A4" w:rsidP="00116BB8"/>
    <w:tbl>
      <w:tblPr>
        <w:tblStyle w:val="Grilledutableau"/>
        <w:tblW w:w="9067" w:type="dxa"/>
        <w:tblLook w:val="04A0" w:firstRow="1" w:lastRow="0" w:firstColumn="1" w:lastColumn="0" w:noHBand="0" w:noVBand="1"/>
      </w:tblPr>
      <w:tblGrid>
        <w:gridCol w:w="3397"/>
        <w:gridCol w:w="3686"/>
        <w:gridCol w:w="1984"/>
      </w:tblGrid>
      <w:tr w:rsidR="008908DE" w:rsidRPr="00EB39B8" w14:paraId="0A7946F9" w14:textId="472FF299" w:rsidTr="008908DE">
        <w:tc>
          <w:tcPr>
            <w:tcW w:w="3397" w:type="dxa"/>
            <w:shd w:val="clear" w:color="auto" w:fill="002060"/>
            <w:vAlign w:val="center"/>
          </w:tcPr>
          <w:p w14:paraId="66FED0E6" w14:textId="77777777" w:rsidR="008908DE" w:rsidRPr="00EB39B8" w:rsidRDefault="008908DE" w:rsidP="008742FF">
            <w:pPr>
              <w:jc w:val="left"/>
              <w:rPr>
                <w:b/>
                <w:bCs/>
                <w:sz w:val="22"/>
                <w:szCs w:val="22"/>
              </w:rPr>
            </w:pPr>
            <w:r w:rsidRPr="00EB39B8">
              <w:rPr>
                <w:b/>
                <w:bCs/>
                <w:sz w:val="22"/>
                <w:szCs w:val="22"/>
              </w:rPr>
              <w:t>Indicateurs principales incidences négatives</w:t>
            </w:r>
          </w:p>
        </w:tc>
        <w:tc>
          <w:tcPr>
            <w:tcW w:w="3686" w:type="dxa"/>
            <w:shd w:val="clear" w:color="auto" w:fill="002060"/>
            <w:vAlign w:val="center"/>
          </w:tcPr>
          <w:p w14:paraId="58A0F985" w14:textId="1988206D" w:rsidR="008908DE" w:rsidRPr="00EB39B8" w:rsidRDefault="008908DE" w:rsidP="008742FF">
            <w:pPr>
              <w:jc w:val="left"/>
              <w:rPr>
                <w:b/>
                <w:bCs/>
                <w:sz w:val="22"/>
                <w:szCs w:val="22"/>
              </w:rPr>
            </w:pPr>
            <w:r w:rsidRPr="00EB39B8">
              <w:rPr>
                <w:b/>
                <w:bCs/>
                <w:sz w:val="22"/>
                <w:szCs w:val="22"/>
              </w:rPr>
              <w:t xml:space="preserve">Pris en compte dans : </w:t>
            </w:r>
          </w:p>
        </w:tc>
        <w:tc>
          <w:tcPr>
            <w:tcW w:w="1984" w:type="dxa"/>
            <w:shd w:val="clear" w:color="auto" w:fill="002060"/>
            <w:vAlign w:val="center"/>
          </w:tcPr>
          <w:p w14:paraId="329147B9" w14:textId="77777777" w:rsidR="008908DE" w:rsidRPr="00EB39B8" w:rsidRDefault="008908DE" w:rsidP="008742FF">
            <w:pPr>
              <w:jc w:val="left"/>
              <w:rPr>
                <w:b/>
                <w:bCs/>
                <w:sz w:val="22"/>
                <w:szCs w:val="22"/>
              </w:rPr>
            </w:pPr>
            <w:r w:rsidRPr="00EB39B8">
              <w:rPr>
                <w:b/>
                <w:bCs/>
                <w:sz w:val="22"/>
                <w:szCs w:val="22"/>
              </w:rPr>
              <w:t xml:space="preserve">Exploitable ? </w:t>
            </w:r>
          </w:p>
        </w:tc>
      </w:tr>
      <w:tr w:rsidR="008908DE" w:rsidRPr="00EB39B8" w14:paraId="703DCCD7" w14:textId="1EDE4EF1" w:rsidTr="008908DE">
        <w:tc>
          <w:tcPr>
            <w:tcW w:w="3397" w:type="dxa"/>
            <w:vAlign w:val="center"/>
          </w:tcPr>
          <w:p w14:paraId="69A46BDD" w14:textId="77777777" w:rsidR="008908DE" w:rsidRPr="00EB39B8" w:rsidRDefault="008908DE" w:rsidP="008742FF">
            <w:pPr>
              <w:jc w:val="left"/>
              <w:rPr>
                <w:sz w:val="22"/>
                <w:szCs w:val="22"/>
              </w:rPr>
            </w:pPr>
            <w:r w:rsidRPr="00EB39B8">
              <w:rPr>
                <w:sz w:val="22"/>
                <w:szCs w:val="22"/>
              </w:rPr>
              <w:t>Emissions de GES</w:t>
            </w:r>
          </w:p>
        </w:tc>
        <w:tc>
          <w:tcPr>
            <w:tcW w:w="3686" w:type="dxa"/>
            <w:vAlign w:val="center"/>
          </w:tcPr>
          <w:p w14:paraId="63CAD9F8" w14:textId="377CF5F8" w:rsidR="008908DE" w:rsidRPr="00EB39B8" w:rsidRDefault="00890EED" w:rsidP="008742FF">
            <w:pPr>
              <w:jc w:val="left"/>
              <w:rPr>
                <w:sz w:val="22"/>
                <w:szCs w:val="22"/>
              </w:rPr>
            </w:pPr>
            <w:r>
              <w:rPr>
                <w:sz w:val="22"/>
                <w:szCs w:val="22"/>
              </w:rPr>
              <w:t>MSCI</w:t>
            </w:r>
          </w:p>
        </w:tc>
        <w:tc>
          <w:tcPr>
            <w:tcW w:w="1984" w:type="dxa"/>
            <w:vAlign w:val="center"/>
          </w:tcPr>
          <w:p w14:paraId="7818F361" w14:textId="77777777" w:rsidR="008908DE" w:rsidRPr="00EB39B8" w:rsidRDefault="008908DE" w:rsidP="008742FF">
            <w:pPr>
              <w:jc w:val="left"/>
              <w:rPr>
                <w:sz w:val="22"/>
                <w:szCs w:val="22"/>
              </w:rPr>
            </w:pPr>
            <w:r w:rsidRPr="00EB39B8">
              <w:rPr>
                <w:sz w:val="22"/>
                <w:szCs w:val="22"/>
              </w:rPr>
              <w:t>Oui</w:t>
            </w:r>
          </w:p>
        </w:tc>
      </w:tr>
      <w:tr w:rsidR="004746F7" w:rsidRPr="0059694B" w14:paraId="33B34A56" w14:textId="4DD09116" w:rsidTr="008908DE">
        <w:tc>
          <w:tcPr>
            <w:tcW w:w="3397" w:type="dxa"/>
            <w:vAlign w:val="center"/>
          </w:tcPr>
          <w:p w14:paraId="0DE85702" w14:textId="77777777" w:rsidR="004746F7" w:rsidRPr="00EB39B8" w:rsidRDefault="004746F7" w:rsidP="004746F7">
            <w:pPr>
              <w:jc w:val="left"/>
              <w:rPr>
                <w:sz w:val="22"/>
                <w:szCs w:val="22"/>
              </w:rPr>
            </w:pPr>
            <w:r w:rsidRPr="00EB39B8">
              <w:rPr>
                <w:sz w:val="22"/>
                <w:szCs w:val="22"/>
              </w:rPr>
              <w:t>Empreinte carbone</w:t>
            </w:r>
          </w:p>
        </w:tc>
        <w:tc>
          <w:tcPr>
            <w:tcW w:w="3686" w:type="dxa"/>
            <w:vAlign w:val="center"/>
          </w:tcPr>
          <w:p w14:paraId="255EA7CB" w14:textId="4600D89C" w:rsidR="004746F7" w:rsidRPr="00EB39B8" w:rsidRDefault="00890EED" w:rsidP="004746F7">
            <w:pPr>
              <w:jc w:val="left"/>
              <w:rPr>
                <w:sz w:val="22"/>
                <w:szCs w:val="22"/>
              </w:rPr>
            </w:pPr>
            <w:r>
              <w:rPr>
                <w:sz w:val="22"/>
                <w:szCs w:val="22"/>
              </w:rPr>
              <w:t>MSCI</w:t>
            </w:r>
          </w:p>
        </w:tc>
        <w:tc>
          <w:tcPr>
            <w:tcW w:w="1984" w:type="dxa"/>
            <w:vAlign w:val="center"/>
          </w:tcPr>
          <w:p w14:paraId="3B57D5D6" w14:textId="77777777" w:rsidR="004746F7" w:rsidRPr="0019432B" w:rsidRDefault="004746F7" w:rsidP="004746F7">
            <w:pPr>
              <w:jc w:val="left"/>
              <w:rPr>
                <w:sz w:val="22"/>
                <w:szCs w:val="22"/>
              </w:rPr>
            </w:pPr>
            <w:r w:rsidRPr="00EB39B8">
              <w:rPr>
                <w:sz w:val="22"/>
                <w:szCs w:val="22"/>
              </w:rPr>
              <w:t>Oui</w:t>
            </w:r>
          </w:p>
        </w:tc>
      </w:tr>
      <w:tr w:rsidR="004746F7" w:rsidRPr="0059694B" w14:paraId="07CC98AA" w14:textId="1A736EBD" w:rsidTr="008908DE">
        <w:tc>
          <w:tcPr>
            <w:tcW w:w="3397" w:type="dxa"/>
            <w:vAlign w:val="center"/>
          </w:tcPr>
          <w:p w14:paraId="003785AF" w14:textId="77777777" w:rsidR="004746F7" w:rsidRPr="0019432B" w:rsidRDefault="004746F7" w:rsidP="004746F7">
            <w:pPr>
              <w:jc w:val="left"/>
              <w:rPr>
                <w:sz w:val="22"/>
                <w:szCs w:val="22"/>
              </w:rPr>
            </w:pPr>
            <w:r w:rsidRPr="0019432B">
              <w:rPr>
                <w:sz w:val="22"/>
                <w:szCs w:val="22"/>
              </w:rPr>
              <w:t>Intensité de GES</w:t>
            </w:r>
          </w:p>
        </w:tc>
        <w:tc>
          <w:tcPr>
            <w:tcW w:w="3686" w:type="dxa"/>
            <w:vAlign w:val="center"/>
          </w:tcPr>
          <w:p w14:paraId="6D104624" w14:textId="1699CDAC" w:rsidR="004746F7" w:rsidRPr="0019432B" w:rsidRDefault="00890EED" w:rsidP="004746F7">
            <w:pPr>
              <w:jc w:val="left"/>
              <w:rPr>
                <w:sz w:val="22"/>
                <w:szCs w:val="22"/>
              </w:rPr>
            </w:pPr>
            <w:r>
              <w:rPr>
                <w:sz w:val="22"/>
                <w:szCs w:val="22"/>
              </w:rPr>
              <w:t>MSCI</w:t>
            </w:r>
          </w:p>
        </w:tc>
        <w:tc>
          <w:tcPr>
            <w:tcW w:w="1984" w:type="dxa"/>
            <w:vAlign w:val="center"/>
          </w:tcPr>
          <w:p w14:paraId="245FBC6E" w14:textId="77777777" w:rsidR="004746F7" w:rsidRPr="0019432B" w:rsidRDefault="004746F7" w:rsidP="004746F7">
            <w:pPr>
              <w:jc w:val="left"/>
              <w:rPr>
                <w:sz w:val="22"/>
                <w:szCs w:val="22"/>
              </w:rPr>
            </w:pPr>
            <w:r w:rsidRPr="0019432B">
              <w:rPr>
                <w:sz w:val="22"/>
                <w:szCs w:val="22"/>
              </w:rPr>
              <w:t>Oui</w:t>
            </w:r>
          </w:p>
        </w:tc>
      </w:tr>
      <w:tr w:rsidR="004746F7" w14:paraId="02F73F0C" w14:textId="2343A7E2" w:rsidTr="008908DE">
        <w:tc>
          <w:tcPr>
            <w:tcW w:w="3397" w:type="dxa"/>
            <w:shd w:val="clear" w:color="auto" w:fill="auto"/>
            <w:vAlign w:val="center"/>
          </w:tcPr>
          <w:p w14:paraId="4F0956EC" w14:textId="77777777" w:rsidR="004746F7" w:rsidRPr="0019432B" w:rsidRDefault="004746F7" w:rsidP="004746F7">
            <w:pPr>
              <w:jc w:val="left"/>
              <w:rPr>
                <w:sz w:val="22"/>
                <w:szCs w:val="22"/>
              </w:rPr>
            </w:pPr>
            <w:r w:rsidRPr="0019432B">
              <w:rPr>
                <w:sz w:val="22"/>
                <w:szCs w:val="22"/>
              </w:rPr>
              <w:t>Exposition à des sociétés actives dans le secteur des combustibles fossiles</w:t>
            </w:r>
          </w:p>
        </w:tc>
        <w:tc>
          <w:tcPr>
            <w:tcW w:w="3686" w:type="dxa"/>
            <w:shd w:val="clear" w:color="auto" w:fill="auto"/>
            <w:vAlign w:val="center"/>
          </w:tcPr>
          <w:p w14:paraId="3458792C" w14:textId="3B3D1852" w:rsidR="004746F7" w:rsidRPr="0019432B" w:rsidRDefault="004746F7" w:rsidP="004746F7">
            <w:pPr>
              <w:jc w:val="left"/>
              <w:rPr>
                <w:sz w:val="22"/>
                <w:szCs w:val="22"/>
              </w:rPr>
            </w:pPr>
            <w:r>
              <w:rPr>
                <w:sz w:val="22"/>
                <w:szCs w:val="22"/>
              </w:rPr>
              <w:t>Exclusion (uniquement pour le charbon</w:t>
            </w:r>
            <w:r w:rsidR="00890EED">
              <w:rPr>
                <w:sz w:val="22"/>
                <w:szCs w:val="22"/>
              </w:rPr>
              <w:t>)</w:t>
            </w:r>
          </w:p>
        </w:tc>
        <w:tc>
          <w:tcPr>
            <w:tcW w:w="1984" w:type="dxa"/>
            <w:shd w:val="clear" w:color="auto" w:fill="auto"/>
            <w:vAlign w:val="center"/>
          </w:tcPr>
          <w:p w14:paraId="412D53DE" w14:textId="2A8C2DEC" w:rsidR="004746F7" w:rsidRPr="0019432B" w:rsidRDefault="004746F7" w:rsidP="004746F7">
            <w:pPr>
              <w:jc w:val="left"/>
              <w:rPr>
                <w:sz w:val="22"/>
                <w:szCs w:val="22"/>
              </w:rPr>
            </w:pPr>
            <w:r>
              <w:rPr>
                <w:sz w:val="22"/>
                <w:szCs w:val="22"/>
              </w:rPr>
              <w:t>Oui</w:t>
            </w:r>
          </w:p>
        </w:tc>
      </w:tr>
      <w:tr w:rsidR="004746F7" w14:paraId="78B37362" w14:textId="2224B29C" w:rsidTr="008908DE">
        <w:tc>
          <w:tcPr>
            <w:tcW w:w="3397" w:type="dxa"/>
            <w:shd w:val="clear" w:color="auto" w:fill="auto"/>
            <w:vAlign w:val="center"/>
          </w:tcPr>
          <w:p w14:paraId="623A6934" w14:textId="77777777" w:rsidR="004746F7" w:rsidRPr="0019432B" w:rsidRDefault="004746F7" w:rsidP="004746F7">
            <w:pPr>
              <w:jc w:val="left"/>
              <w:rPr>
                <w:sz w:val="22"/>
                <w:szCs w:val="22"/>
              </w:rPr>
            </w:pPr>
            <w:r w:rsidRPr="0019432B">
              <w:rPr>
                <w:sz w:val="22"/>
                <w:szCs w:val="22"/>
              </w:rPr>
              <w:t>Part de consommation et production d’énergie non renouvelable</w:t>
            </w:r>
          </w:p>
        </w:tc>
        <w:tc>
          <w:tcPr>
            <w:tcW w:w="3686" w:type="dxa"/>
            <w:shd w:val="clear" w:color="auto" w:fill="auto"/>
            <w:vAlign w:val="center"/>
          </w:tcPr>
          <w:p w14:paraId="75E2D26C" w14:textId="6DCF06EE" w:rsidR="004746F7" w:rsidRPr="0019432B" w:rsidRDefault="00890EED" w:rsidP="004746F7">
            <w:pPr>
              <w:jc w:val="left"/>
              <w:rPr>
                <w:sz w:val="22"/>
                <w:szCs w:val="22"/>
              </w:rPr>
            </w:pPr>
            <w:r>
              <w:rPr>
                <w:sz w:val="22"/>
                <w:szCs w:val="22"/>
              </w:rPr>
              <w:t>MSCI</w:t>
            </w:r>
          </w:p>
        </w:tc>
        <w:tc>
          <w:tcPr>
            <w:tcW w:w="1984" w:type="dxa"/>
            <w:shd w:val="clear" w:color="auto" w:fill="auto"/>
            <w:vAlign w:val="center"/>
          </w:tcPr>
          <w:p w14:paraId="19AF649C" w14:textId="1DE96E4C" w:rsidR="004746F7" w:rsidRPr="0019432B" w:rsidRDefault="004746F7" w:rsidP="004746F7">
            <w:pPr>
              <w:jc w:val="left"/>
              <w:rPr>
                <w:sz w:val="22"/>
                <w:szCs w:val="22"/>
              </w:rPr>
            </w:pPr>
            <w:r>
              <w:rPr>
                <w:sz w:val="22"/>
                <w:szCs w:val="22"/>
              </w:rPr>
              <w:t>Oui</w:t>
            </w:r>
          </w:p>
        </w:tc>
      </w:tr>
      <w:tr w:rsidR="004746F7" w14:paraId="63B1D112" w14:textId="087BF12B" w:rsidTr="008908DE">
        <w:tc>
          <w:tcPr>
            <w:tcW w:w="3397" w:type="dxa"/>
            <w:shd w:val="clear" w:color="auto" w:fill="auto"/>
            <w:vAlign w:val="center"/>
          </w:tcPr>
          <w:p w14:paraId="175E7815" w14:textId="77777777" w:rsidR="004746F7" w:rsidRPr="0019432B" w:rsidRDefault="004746F7" w:rsidP="004746F7">
            <w:pPr>
              <w:jc w:val="left"/>
              <w:rPr>
                <w:sz w:val="22"/>
                <w:szCs w:val="22"/>
              </w:rPr>
            </w:pPr>
            <w:r w:rsidRPr="0019432B">
              <w:rPr>
                <w:sz w:val="22"/>
                <w:szCs w:val="22"/>
              </w:rPr>
              <w:t>Intensité de consommation d’énergie par secteur à fort impact climatique</w:t>
            </w:r>
          </w:p>
        </w:tc>
        <w:tc>
          <w:tcPr>
            <w:tcW w:w="3686" w:type="dxa"/>
            <w:shd w:val="clear" w:color="auto" w:fill="auto"/>
            <w:vAlign w:val="center"/>
          </w:tcPr>
          <w:p w14:paraId="1E316C50" w14:textId="3DBF06DE" w:rsidR="004746F7" w:rsidRPr="0019432B" w:rsidRDefault="00890EED" w:rsidP="004746F7">
            <w:pPr>
              <w:jc w:val="left"/>
              <w:rPr>
                <w:sz w:val="22"/>
                <w:szCs w:val="22"/>
              </w:rPr>
            </w:pPr>
            <w:r>
              <w:rPr>
                <w:sz w:val="22"/>
                <w:szCs w:val="22"/>
              </w:rPr>
              <w:t>MSCI</w:t>
            </w:r>
          </w:p>
        </w:tc>
        <w:tc>
          <w:tcPr>
            <w:tcW w:w="1984" w:type="dxa"/>
            <w:shd w:val="clear" w:color="auto" w:fill="auto"/>
            <w:vAlign w:val="center"/>
          </w:tcPr>
          <w:p w14:paraId="6914F2C1" w14:textId="6C922153" w:rsidR="004746F7" w:rsidRPr="0019432B" w:rsidRDefault="004746F7" w:rsidP="004746F7">
            <w:pPr>
              <w:jc w:val="left"/>
              <w:rPr>
                <w:sz w:val="22"/>
                <w:szCs w:val="22"/>
              </w:rPr>
            </w:pPr>
            <w:r>
              <w:rPr>
                <w:sz w:val="22"/>
                <w:szCs w:val="22"/>
              </w:rPr>
              <w:t>Oui</w:t>
            </w:r>
          </w:p>
        </w:tc>
      </w:tr>
      <w:tr w:rsidR="00890EED" w14:paraId="4C63F9FF" w14:textId="40954834" w:rsidTr="004D19EA">
        <w:tc>
          <w:tcPr>
            <w:tcW w:w="3397" w:type="dxa"/>
            <w:shd w:val="clear" w:color="auto" w:fill="auto"/>
            <w:vAlign w:val="center"/>
          </w:tcPr>
          <w:p w14:paraId="37AE7C27" w14:textId="77777777" w:rsidR="00890EED" w:rsidRPr="0019432B" w:rsidRDefault="00890EED" w:rsidP="00890EED">
            <w:pPr>
              <w:jc w:val="left"/>
              <w:rPr>
                <w:sz w:val="22"/>
                <w:szCs w:val="22"/>
              </w:rPr>
            </w:pPr>
            <w:r w:rsidRPr="0019432B">
              <w:rPr>
                <w:sz w:val="22"/>
                <w:szCs w:val="22"/>
              </w:rPr>
              <w:t>Activités ayant une incidence négative sur des zones sensibles sur le plan de la biodiversité</w:t>
            </w:r>
          </w:p>
        </w:tc>
        <w:tc>
          <w:tcPr>
            <w:tcW w:w="3686" w:type="dxa"/>
            <w:shd w:val="clear" w:color="auto" w:fill="auto"/>
          </w:tcPr>
          <w:p w14:paraId="3BDDAB20" w14:textId="4DE290A8" w:rsidR="00890EED" w:rsidRPr="0019432B" w:rsidRDefault="00890EED" w:rsidP="00890EED">
            <w:pPr>
              <w:jc w:val="left"/>
              <w:rPr>
                <w:sz w:val="22"/>
                <w:szCs w:val="22"/>
              </w:rPr>
            </w:pPr>
            <w:r w:rsidRPr="00A02DAF">
              <w:rPr>
                <w:sz w:val="22"/>
                <w:szCs w:val="22"/>
              </w:rPr>
              <w:t>MSCI</w:t>
            </w:r>
          </w:p>
        </w:tc>
        <w:tc>
          <w:tcPr>
            <w:tcW w:w="1984" w:type="dxa"/>
            <w:shd w:val="clear" w:color="auto" w:fill="auto"/>
            <w:vAlign w:val="center"/>
          </w:tcPr>
          <w:p w14:paraId="41FAC4FD" w14:textId="75D55EA2" w:rsidR="00890EED" w:rsidRPr="0019432B" w:rsidRDefault="00890EED" w:rsidP="00890EED">
            <w:pPr>
              <w:jc w:val="left"/>
              <w:rPr>
                <w:sz w:val="22"/>
                <w:szCs w:val="22"/>
              </w:rPr>
            </w:pPr>
            <w:r>
              <w:rPr>
                <w:sz w:val="22"/>
                <w:szCs w:val="22"/>
              </w:rPr>
              <w:t>Oui</w:t>
            </w:r>
          </w:p>
        </w:tc>
      </w:tr>
      <w:tr w:rsidR="00890EED" w:rsidRPr="0059694B" w14:paraId="55790F84" w14:textId="2649A901" w:rsidTr="004D19EA">
        <w:tc>
          <w:tcPr>
            <w:tcW w:w="3397" w:type="dxa"/>
            <w:vAlign w:val="center"/>
          </w:tcPr>
          <w:p w14:paraId="327A8E8B" w14:textId="77777777" w:rsidR="00890EED" w:rsidRPr="0019432B" w:rsidRDefault="00890EED" w:rsidP="00890EED">
            <w:pPr>
              <w:jc w:val="left"/>
              <w:rPr>
                <w:sz w:val="22"/>
                <w:szCs w:val="22"/>
              </w:rPr>
            </w:pPr>
            <w:r w:rsidRPr="0019432B">
              <w:rPr>
                <w:sz w:val="22"/>
                <w:szCs w:val="22"/>
              </w:rPr>
              <w:t>Rejets dans l’eau</w:t>
            </w:r>
          </w:p>
        </w:tc>
        <w:tc>
          <w:tcPr>
            <w:tcW w:w="3686" w:type="dxa"/>
          </w:tcPr>
          <w:p w14:paraId="22BB3B59" w14:textId="7AE41A59" w:rsidR="00890EED" w:rsidRPr="0019432B" w:rsidRDefault="00890EED" w:rsidP="00890EED">
            <w:pPr>
              <w:jc w:val="left"/>
              <w:rPr>
                <w:sz w:val="22"/>
                <w:szCs w:val="22"/>
              </w:rPr>
            </w:pPr>
            <w:r w:rsidRPr="00A02DAF">
              <w:rPr>
                <w:sz w:val="22"/>
                <w:szCs w:val="22"/>
              </w:rPr>
              <w:t>MSCI</w:t>
            </w:r>
          </w:p>
        </w:tc>
        <w:tc>
          <w:tcPr>
            <w:tcW w:w="1984" w:type="dxa"/>
            <w:vAlign w:val="center"/>
          </w:tcPr>
          <w:p w14:paraId="03E07870" w14:textId="77777777" w:rsidR="00890EED" w:rsidRPr="0019432B" w:rsidRDefault="00890EED" w:rsidP="00890EED">
            <w:pPr>
              <w:jc w:val="left"/>
              <w:rPr>
                <w:sz w:val="22"/>
                <w:szCs w:val="22"/>
              </w:rPr>
            </w:pPr>
            <w:r w:rsidRPr="0019432B">
              <w:rPr>
                <w:sz w:val="22"/>
                <w:szCs w:val="22"/>
              </w:rPr>
              <w:t>Oui</w:t>
            </w:r>
          </w:p>
        </w:tc>
      </w:tr>
      <w:tr w:rsidR="004746F7" w:rsidRPr="0059694B" w14:paraId="0E968243" w14:textId="60B103E1" w:rsidTr="004A16C8">
        <w:tc>
          <w:tcPr>
            <w:tcW w:w="3397" w:type="dxa"/>
            <w:vAlign w:val="center"/>
          </w:tcPr>
          <w:p w14:paraId="205528F3" w14:textId="77777777" w:rsidR="004746F7" w:rsidRPr="0019432B" w:rsidRDefault="004746F7" w:rsidP="004746F7">
            <w:pPr>
              <w:jc w:val="left"/>
              <w:rPr>
                <w:sz w:val="22"/>
                <w:szCs w:val="22"/>
              </w:rPr>
            </w:pPr>
            <w:r w:rsidRPr="0019432B">
              <w:rPr>
                <w:sz w:val="22"/>
                <w:szCs w:val="22"/>
              </w:rPr>
              <w:t>Ratio de déchets dangereux et de déchets radioactifs</w:t>
            </w:r>
          </w:p>
        </w:tc>
        <w:tc>
          <w:tcPr>
            <w:tcW w:w="3686" w:type="dxa"/>
            <w:vAlign w:val="center"/>
          </w:tcPr>
          <w:p w14:paraId="7E10BEA0" w14:textId="278478B9" w:rsidR="004746F7" w:rsidRPr="0019432B" w:rsidRDefault="00890EED" w:rsidP="004746F7">
            <w:pPr>
              <w:jc w:val="left"/>
              <w:rPr>
                <w:sz w:val="22"/>
                <w:szCs w:val="22"/>
              </w:rPr>
            </w:pPr>
            <w:r>
              <w:rPr>
                <w:sz w:val="22"/>
                <w:szCs w:val="22"/>
              </w:rPr>
              <w:t>MSCI</w:t>
            </w:r>
          </w:p>
        </w:tc>
        <w:tc>
          <w:tcPr>
            <w:tcW w:w="1984" w:type="dxa"/>
            <w:vAlign w:val="center"/>
          </w:tcPr>
          <w:p w14:paraId="636E03D9" w14:textId="77777777" w:rsidR="004746F7" w:rsidRPr="0019432B" w:rsidRDefault="004746F7" w:rsidP="004746F7">
            <w:pPr>
              <w:jc w:val="left"/>
              <w:rPr>
                <w:sz w:val="22"/>
                <w:szCs w:val="22"/>
              </w:rPr>
            </w:pPr>
            <w:r w:rsidRPr="0019432B">
              <w:rPr>
                <w:sz w:val="22"/>
                <w:szCs w:val="22"/>
              </w:rPr>
              <w:t>Oui</w:t>
            </w:r>
          </w:p>
        </w:tc>
      </w:tr>
      <w:tr w:rsidR="004746F7" w:rsidRPr="0059694B" w14:paraId="178FEA1D" w14:textId="3C670032" w:rsidTr="008908DE">
        <w:tc>
          <w:tcPr>
            <w:tcW w:w="3397" w:type="dxa"/>
            <w:vAlign w:val="center"/>
          </w:tcPr>
          <w:p w14:paraId="3F10036E" w14:textId="77777777" w:rsidR="004746F7" w:rsidRPr="0019432B" w:rsidRDefault="004746F7" w:rsidP="004746F7">
            <w:pPr>
              <w:jc w:val="left"/>
              <w:rPr>
                <w:sz w:val="22"/>
                <w:szCs w:val="22"/>
              </w:rPr>
            </w:pPr>
            <w:r w:rsidRPr="0019432B">
              <w:rPr>
                <w:sz w:val="22"/>
                <w:szCs w:val="22"/>
              </w:rPr>
              <w:t>Violation du pacte mondial des Nations Unies</w:t>
            </w:r>
          </w:p>
        </w:tc>
        <w:tc>
          <w:tcPr>
            <w:tcW w:w="3686" w:type="dxa"/>
            <w:vAlign w:val="center"/>
          </w:tcPr>
          <w:p w14:paraId="64606A8D" w14:textId="77777777" w:rsidR="004746F7" w:rsidRPr="0019432B" w:rsidRDefault="004746F7" w:rsidP="004746F7">
            <w:pPr>
              <w:jc w:val="left"/>
              <w:rPr>
                <w:sz w:val="22"/>
                <w:szCs w:val="22"/>
              </w:rPr>
            </w:pPr>
            <w:r w:rsidRPr="0019432B">
              <w:rPr>
                <w:sz w:val="22"/>
                <w:szCs w:val="22"/>
              </w:rPr>
              <w:t>Exclusion</w:t>
            </w:r>
          </w:p>
        </w:tc>
        <w:tc>
          <w:tcPr>
            <w:tcW w:w="1984" w:type="dxa"/>
            <w:vAlign w:val="center"/>
          </w:tcPr>
          <w:p w14:paraId="61E48A06" w14:textId="77777777" w:rsidR="004746F7" w:rsidRPr="0019432B" w:rsidRDefault="004746F7" w:rsidP="004746F7">
            <w:pPr>
              <w:jc w:val="left"/>
              <w:rPr>
                <w:sz w:val="22"/>
                <w:szCs w:val="22"/>
              </w:rPr>
            </w:pPr>
            <w:r w:rsidRPr="0019432B">
              <w:rPr>
                <w:sz w:val="22"/>
                <w:szCs w:val="22"/>
              </w:rPr>
              <w:t>Oui</w:t>
            </w:r>
          </w:p>
        </w:tc>
      </w:tr>
      <w:tr w:rsidR="004746F7" w14:paraId="47B6B3A2" w14:textId="6E37C8D9" w:rsidTr="008908DE">
        <w:tc>
          <w:tcPr>
            <w:tcW w:w="3397" w:type="dxa"/>
            <w:shd w:val="clear" w:color="auto" w:fill="auto"/>
            <w:vAlign w:val="center"/>
          </w:tcPr>
          <w:p w14:paraId="07151D86" w14:textId="77777777" w:rsidR="004746F7" w:rsidRPr="0019432B" w:rsidRDefault="004746F7" w:rsidP="004746F7">
            <w:pPr>
              <w:jc w:val="left"/>
              <w:rPr>
                <w:sz w:val="22"/>
                <w:szCs w:val="22"/>
              </w:rPr>
            </w:pPr>
            <w:r w:rsidRPr="0019432B">
              <w:rPr>
                <w:sz w:val="22"/>
                <w:szCs w:val="22"/>
              </w:rPr>
              <w:t>Absence de processus et de mécanismes de conformité permettant de contrôler le respect du Pacte Mondial des Nations Unies</w:t>
            </w:r>
          </w:p>
        </w:tc>
        <w:tc>
          <w:tcPr>
            <w:tcW w:w="3686" w:type="dxa"/>
            <w:shd w:val="clear" w:color="auto" w:fill="auto"/>
            <w:vAlign w:val="center"/>
          </w:tcPr>
          <w:p w14:paraId="501A5FFE" w14:textId="5971E5F4" w:rsidR="004746F7" w:rsidRPr="0019432B" w:rsidRDefault="00890EED" w:rsidP="004746F7">
            <w:pPr>
              <w:jc w:val="left"/>
              <w:rPr>
                <w:sz w:val="22"/>
                <w:szCs w:val="22"/>
              </w:rPr>
            </w:pPr>
            <w:r>
              <w:rPr>
                <w:sz w:val="22"/>
                <w:szCs w:val="22"/>
              </w:rPr>
              <w:t>MSCI</w:t>
            </w:r>
          </w:p>
        </w:tc>
        <w:tc>
          <w:tcPr>
            <w:tcW w:w="1984" w:type="dxa"/>
            <w:shd w:val="clear" w:color="auto" w:fill="auto"/>
            <w:vAlign w:val="center"/>
          </w:tcPr>
          <w:p w14:paraId="1EE16399" w14:textId="2C332DDE" w:rsidR="004746F7" w:rsidRPr="0019432B" w:rsidRDefault="004746F7" w:rsidP="004746F7">
            <w:pPr>
              <w:jc w:val="left"/>
              <w:rPr>
                <w:sz w:val="22"/>
                <w:szCs w:val="22"/>
              </w:rPr>
            </w:pPr>
            <w:r>
              <w:rPr>
                <w:sz w:val="22"/>
                <w:szCs w:val="22"/>
              </w:rPr>
              <w:t>Oui</w:t>
            </w:r>
          </w:p>
        </w:tc>
      </w:tr>
      <w:tr w:rsidR="004746F7" w14:paraId="1C2A13BD" w14:textId="2882555E" w:rsidTr="008908DE">
        <w:tc>
          <w:tcPr>
            <w:tcW w:w="3397" w:type="dxa"/>
            <w:shd w:val="clear" w:color="auto" w:fill="D9D9D9" w:themeFill="background1" w:themeFillShade="D9"/>
            <w:vAlign w:val="center"/>
          </w:tcPr>
          <w:p w14:paraId="47161987" w14:textId="77777777" w:rsidR="004746F7" w:rsidRPr="0019432B" w:rsidRDefault="004746F7" w:rsidP="004746F7">
            <w:pPr>
              <w:jc w:val="left"/>
              <w:rPr>
                <w:sz w:val="22"/>
                <w:szCs w:val="22"/>
              </w:rPr>
            </w:pPr>
            <w:r w:rsidRPr="0019432B">
              <w:rPr>
                <w:sz w:val="22"/>
                <w:szCs w:val="22"/>
              </w:rPr>
              <w:t>Ecart de rémunération entre hommes et femmes non corrigé</w:t>
            </w:r>
          </w:p>
        </w:tc>
        <w:tc>
          <w:tcPr>
            <w:tcW w:w="3686" w:type="dxa"/>
            <w:shd w:val="clear" w:color="auto" w:fill="D9D9D9" w:themeFill="background1" w:themeFillShade="D9"/>
            <w:vAlign w:val="center"/>
          </w:tcPr>
          <w:p w14:paraId="35DE3B6B" w14:textId="0BE89436" w:rsidR="004746F7" w:rsidRPr="0019432B" w:rsidRDefault="004746F7" w:rsidP="004746F7">
            <w:pPr>
              <w:jc w:val="left"/>
              <w:rPr>
                <w:sz w:val="22"/>
                <w:szCs w:val="22"/>
              </w:rPr>
            </w:pPr>
            <w:r>
              <w:rPr>
                <w:sz w:val="22"/>
                <w:szCs w:val="22"/>
              </w:rPr>
              <w:t>Communiqué dans les rapports annuels des fonds mais non pris en compte dans les décisions d’investissement</w:t>
            </w:r>
          </w:p>
        </w:tc>
        <w:tc>
          <w:tcPr>
            <w:tcW w:w="1984" w:type="dxa"/>
            <w:shd w:val="clear" w:color="auto" w:fill="D9D9D9" w:themeFill="background1" w:themeFillShade="D9"/>
            <w:vAlign w:val="center"/>
          </w:tcPr>
          <w:p w14:paraId="299A3683" w14:textId="16DF4128" w:rsidR="004746F7" w:rsidRPr="0019432B" w:rsidRDefault="00D24DB2" w:rsidP="004746F7">
            <w:pPr>
              <w:jc w:val="left"/>
              <w:rPr>
                <w:sz w:val="22"/>
                <w:szCs w:val="22"/>
              </w:rPr>
            </w:pPr>
            <w:r>
              <w:rPr>
                <w:sz w:val="22"/>
                <w:szCs w:val="22"/>
              </w:rPr>
              <w:t>Non</w:t>
            </w:r>
          </w:p>
        </w:tc>
      </w:tr>
      <w:tr w:rsidR="004746F7" w:rsidRPr="0059694B" w14:paraId="4BEE6375" w14:textId="61697B2C" w:rsidTr="008908DE">
        <w:tc>
          <w:tcPr>
            <w:tcW w:w="3397" w:type="dxa"/>
            <w:vAlign w:val="center"/>
          </w:tcPr>
          <w:p w14:paraId="1543EC77" w14:textId="77777777" w:rsidR="004746F7" w:rsidRPr="0019432B" w:rsidRDefault="004746F7" w:rsidP="004746F7">
            <w:pPr>
              <w:jc w:val="left"/>
              <w:rPr>
                <w:sz w:val="22"/>
                <w:szCs w:val="22"/>
              </w:rPr>
            </w:pPr>
            <w:r w:rsidRPr="0019432B">
              <w:rPr>
                <w:sz w:val="22"/>
                <w:szCs w:val="22"/>
              </w:rPr>
              <w:lastRenderedPageBreak/>
              <w:t>Mixité au sein des organes de gouvernance</w:t>
            </w:r>
          </w:p>
        </w:tc>
        <w:tc>
          <w:tcPr>
            <w:tcW w:w="3686" w:type="dxa"/>
            <w:vAlign w:val="center"/>
          </w:tcPr>
          <w:p w14:paraId="69D34A8C" w14:textId="7F99D4D7" w:rsidR="004746F7" w:rsidRPr="0019432B" w:rsidRDefault="00890EED" w:rsidP="004746F7">
            <w:pPr>
              <w:jc w:val="left"/>
              <w:rPr>
                <w:sz w:val="22"/>
                <w:szCs w:val="22"/>
              </w:rPr>
            </w:pPr>
            <w:r>
              <w:rPr>
                <w:sz w:val="22"/>
                <w:szCs w:val="22"/>
              </w:rPr>
              <w:t>MSCI</w:t>
            </w:r>
          </w:p>
        </w:tc>
        <w:tc>
          <w:tcPr>
            <w:tcW w:w="1984" w:type="dxa"/>
            <w:vAlign w:val="center"/>
          </w:tcPr>
          <w:p w14:paraId="69DFDB56" w14:textId="77777777" w:rsidR="004746F7" w:rsidRPr="0019432B" w:rsidRDefault="004746F7" w:rsidP="004746F7">
            <w:pPr>
              <w:jc w:val="left"/>
              <w:rPr>
                <w:sz w:val="22"/>
                <w:szCs w:val="22"/>
              </w:rPr>
            </w:pPr>
            <w:r w:rsidRPr="0019432B">
              <w:rPr>
                <w:sz w:val="22"/>
                <w:szCs w:val="22"/>
              </w:rPr>
              <w:t>Oui</w:t>
            </w:r>
          </w:p>
        </w:tc>
      </w:tr>
      <w:tr w:rsidR="004746F7" w:rsidRPr="0059694B" w14:paraId="17A359F9" w14:textId="779FADEC" w:rsidTr="008908DE">
        <w:tc>
          <w:tcPr>
            <w:tcW w:w="3397" w:type="dxa"/>
            <w:vAlign w:val="center"/>
          </w:tcPr>
          <w:p w14:paraId="136A6AF4" w14:textId="77777777" w:rsidR="004746F7" w:rsidRPr="0019432B" w:rsidRDefault="004746F7" w:rsidP="004746F7">
            <w:pPr>
              <w:jc w:val="left"/>
              <w:rPr>
                <w:sz w:val="22"/>
                <w:szCs w:val="22"/>
              </w:rPr>
            </w:pPr>
            <w:r w:rsidRPr="0019432B">
              <w:rPr>
                <w:sz w:val="22"/>
                <w:szCs w:val="22"/>
              </w:rPr>
              <w:t>Exposition aux armes controversées</w:t>
            </w:r>
          </w:p>
        </w:tc>
        <w:tc>
          <w:tcPr>
            <w:tcW w:w="3686" w:type="dxa"/>
            <w:vAlign w:val="center"/>
          </w:tcPr>
          <w:p w14:paraId="7495D83F" w14:textId="77777777" w:rsidR="004746F7" w:rsidRPr="0019432B" w:rsidRDefault="004746F7" w:rsidP="004746F7">
            <w:pPr>
              <w:jc w:val="left"/>
              <w:rPr>
                <w:sz w:val="22"/>
                <w:szCs w:val="22"/>
              </w:rPr>
            </w:pPr>
            <w:r w:rsidRPr="0019432B">
              <w:rPr>
                <w:sz w:val="22"/>
                <w:szCs w:val="22"/>
              </w:rPr>
              <w:t>Exclusion</w:t>
            </w:r>
          </w:p>
        </w:tc>
        <w:tc>
          <w:tcPr>
            <w:tcW w:w="1984" w:type="dxa"/>
            <w:vAlign w:val="center"/>
          </w:tcPr>
          <w:p w14:paraId="3395DF46" w14:textId="77777777" w:rsidR="004746F7" w:rsidRPr="0019432B" w:rsidRDefault="004746F7" w:rsidP="004746F7">
            <w:pPr>
              <w:jc w:val="left"/>
              <w:rPr>
                <w:sz w:val="22"/>
                <w:szCs w:val="22"/>
              </w:rPr>
            </w:pPr>
            <w:r w:rsidRPr="0019432B">
              <w:rPr>
                <w:sz w:val="22"/>
                <w:szCs w:val="22"/>
              </w:rPr>
              <w:t>Oui</w:t>
            </w:r>
          </w:p>
        </w:tc>
      </w:tr>
    </w:tbl>
    <w:p w14:paraId="780E0653" w14:textId="0A7DD9D2" w:rsidR="00E91A80" w:rsidRDefault="00E91A80" w:rsidP="003543AB">
      <w:pPr>
        <w:spacing w:line="259" w:lineRule="auto"/>
        <w:jc w:val="left"/>
        <w:rPr>
          <w:rFonts w:ascii="Century Gothic" w:eastAsiaTheme="minorEastAsia" w:hAnsi="Century Gothic"/>
          <w:b/>
          <w:color w:val="FFFFFF" w:themeColor="background1"/>
          <w:spacing w:val="15"/>
          <w:szCs w:val="22"/>
        </w:rPr>
      </w:pPr>
    </w:p>
    <w:p w14:paraId="018C9D5E" w14:textId="77777777" w:rsidR="00850150" w:rsidRDefault="00850150" w:rsidP="003543AB">
      <w:pPr>
        <w:spacing w:line="259" w:lineRule="auto"/>
        <w:jc w:val="left"/>
        <w:rPr>
          <w:rFonts w:ascii="Century Gothic" w:eastAsiaTheme="minorEastAsia" w:hAnsi="Century Gothic"/>
          <w:b/>
          <w:color w:val="FFFFFF" w:themeColor="background1"/>
          <w:spacing w:val="15"/>
          <w:szCs w:val="22"/>
        </w:rPr>
      </w:pPr>
    </w:p>
    <w:p w14:paraId="52ABE4D8" w14:textId="2C2DE745" w:rsidR="002578AE" w:rsidRDefault="0010043C" w:rsidP="000E407C">
      <w:pPr>
        <w:pStyle w:val="Titre1"/>
        <w:shd w:val="clear" w:color="auto" w:fill="1B2D51"/>
        <w:rPr>
          <w:rFonts w:ascii="Century Gothic" w:hAnsi="Century Gothic"/>
        </w:rPr>
      </w:pPr>
      <w:bookmarkStart w:id="2" w:name="_Toc161160489"/>
      <w:r w:rsidRPr="0010043C">
        <w:rPr>
          <w:rFonts w:ascii="Century Gothic" w:hAnsi="Century Gothic"/>
        </w:rPr>
        <w:t>Caractéristiques environnementales ou sociales du produit financier</w:t>
      </w:r>
      <w:bookmarkEnd w:id="2"/>
    </w:p>
    <w:p w14:paraId="3419774F" w14:textId="77777777" w:rsidR="00E11C73" w:rsidRDefault="001A793C" w:rsidP="00A71BF1">
      <w:r>
        <w:t xml:space="preserve">Dans le but de </w:t>
      </w:r>
      <w:r w:rsidR="00051037">
        <w:t xml:space="preserve">promouvoir </w:t>
      </w:r>
      <w:r>
        <w:t xml:space="preserve">les principaux </w:t>
      </w:r>
      <w:r w:rsidR="00A71BF1">
        <w:t xml:space="preserve">enjeux environnementaux, sociaux et de gouvernance </w:t>
      </w:r>
      <w:r w:rsidR="00051037">
        <w:t>dans sa gestion</w:t>
      </w:r>
      <w:r w:rsidR="00E11C73">
        <w:t xml:space="preserve">, </w:t>
      </w:r>
      <w:r w:rsidR="00051037">
        <w:t xml:space="preserve">tout en mesurant </w:t>
      </w:r>
      <w:r>
        <w:t>les risques</w:t>
      </w:r>
      <w:r w:rsidR="00051037">
        <w:t xml:space="preserve"> associés</w:t>
      </w:r>
      <w:r w:rsidR="00E11C73">
        <w:t>,</w:t>
      </w:r>
      <w:r>
        <w:t xml:space="preserve"> </w:t>
      </w:r>
      <w:r w:rsidR="00A71BF1">
        <w:t xml:space="preserve">Amplegest </w:t>
      </w:r>
      <w:r w:rsidR="009D22B2">
        <w:t xml:space="preserve">a choisi de </w:t>
      </w:r>
      <w:r w:rsidR="00E11C73">
        <w:t>mettre en place une double démarche :</w:t>
      </w:r>
    </w:p>
    <w:p w14:paraId="69F70BD7" w14:textId="77777777" w:rsidR="00E9099A" w:rsidRDefault="00E9099A" w:rsidP="00E9099A"/>
    <w:p w14:paraId="458E3044" w14:textId="77777777" w:rsidR="00E9099A" w:rsidRPr="00A837CC" w:rsidRDefault="00E9099A" w:rsidP="00E9099A">
      <w:pPr>
        <w:pStyle w:val="Paragraphedeliste"/>
        <w:numPr>
          <w:ilvl w:val="0"/>
          <w:numId w:val="28"/>
        </w:numPr>
        <w:rPr>
          <w:highlight w:val="yellow"/>
        </w:rPr>
      </w:pPr>
      <w:r w:rsidRPr="00A837CC">
        <w:rPr>
          <w:highlight w:val="yellow"/>
        </w:rPr>
        <w:t xml:space="preserve">Pour la partie du portefeuille investie en titres vifs : </w:t>
      </w:r>
    </w:p>
    <w:p w14:paraId="7ADE6F86" w14:textId="77777777" w:rsidR="00E9099A" w:rsidRPr="00A837CC" w:rsidRDefault="00E9099A" w:rsidP="00E9099A">
      <w:pPr>
        <w:pStyle w:val="Paragraphedeliste"/>
        <w:numPr>
          <w:ilvl w:val="1"/>
          <w:numId w:val="28"/>
        </w:numPr>
        <w:rPr>
          <w:highlight w:val="yellow"/>
        </w:rPr>
      </w:pPr>
      <w:r w:rsidRPr="00A837CC">
        <w:rPr>
          <w:highlight w:val="yellow"/>
        </w:rPr>
        <w:t xml:space="preserve">Respecter une politique d’exclusion construite pour exclure de son univers d’investissement des sociétés qui interviennent sur les secteurs à fort impact climatique, et/ou ne respectant pas les principes fondamentaux des droits de l’homme et/ou affectés de controverses jugées particulièrement graves par les comités controverse et réputation. </w:t>
      </w:r>
    </w:p>
    <w:p w14:paraId="42696B2E" w14:textId="77777777" w:rsidR="00E9099A" w:rsidRPr="00A837CC" w:rsidRDefault="00E9099A" w:rsidP="00E9099A">
      <w:pPr>
        <w:pStyle w:val="Paragraphedeliste"/>
        <w:numPr>
          <w:ilvl w:val="1"/>
          <w:numId w:val="28"/>
        </w:numPr>
        <w:rPr>
          <w:highlight w:val="yellow"/>
        </w:rPr>
      </w:pPr>
      <w:r w:rsidRPr="00A837CC">
        <w:rPr>
          <w:highlight w:val="yellow"/>
        </w:rPr>
        <w:t xml:space="preserve">Réduire l’univers d’investissement de 20% en éliminant les sociétés les moins bien notées </w:t>
      </w:r>
      <w:bookmarkStart w:id="3" w:name="_Hlk181182241"/>
      <w:r w:rsidRPr="00A837CC">
        <w:rPr>
          <w:highlight w:val="yellow"/>
        </w:rPr>
        <w:t xml:space="preserve">par MSCI </w:t>
      </w:r>
      <w:proofErr w:type="spellStart"/>
      <w:r w:rsidRPr="00A837CC">
        <w:rPr>
          <w:highlight w:val="yellow"/>
        </w:rPr>
        <w:t>Research</w:t>
      </w:r>
      <w:proofErr w:type="spellEnd"/>
      <w:r w:rsidRPr="00A837CC">
        <w:rPr>
          <w:highlight w:val="yellow"/>
        </w:rPr>
        <w:t xml:space="preserve"> (en utilisant les piliers ESG, E, S et G).</w:t>
      </w:r>
    </w:p>
    <w:bookmarkEnd w:id="3"/>
    <w:p w14:paraId="61419528" w14:textId="77777777" w:rsidR="00E9099A" w:rsidRPr="00A837CC" w:rsidRDefault="00E9099A" w:rsidP="00E9099A">
      <w:pPr>
        <w:pStyle w:val="Paragraphedeliste"/>
        <w:numPr>
          <w:ilvl w:val="0"/>
          <w:numId w:val="28"/>
        </w:numPr>
        <w:rPr>
          <w:highlight w:val="yellow"/>
        </w:rPr>
      </w:pPr>
      <w:r w:rsidRPr="00A837CC">
        <w:rPr>
          <w:highlight w:val="yellow"/>
        </w:rPr>
        <w:t xml:space="preserve">Pour la partie </w:t>
      </w:r>
      <w:bookmarkStart w:id="4" w:name="_Hlk189577819"/>
      <w:r w:rsidRPr="00A837CC">
        <w:rPr>
          <w:highlight w:val="yellow"/>
        </w:rPr>
        <w:t xml:space="preserve">du portefeuille investie en OPC, ETF/trackers : investir principalement dans des OPC, ETF/trackers classés article 8 ou 9 au sens règlement </w:t>
      </w:r>
      <w:r>
        <w:rPr>
          <w:highlight w:val="yellow"/>
        </w:rPr>
        <w:t>SFDR</w:t>
      </w:r>
      <w:r w:rsidRPr="00A837CC">
        <w:rPr>
          <w:highlight w:val="yellow"/>
        </w:rPr>
        <w:t>.</w:t>
      </w:r>
    </w:p>
    <w:bookmarkEnd w:id="4"/>
    <w:p w14:paraId="08A2D5F7" w14:textId="77777777" w:rsidR="00E9099A" w:rsidRDefault="00E9099A" w:rsidP="00A71BF1"/>
    <w:p w14:paraId="03A38980" w14:textId="7D4032F1" w:rsidR="00361894" w:rsidRDefault="00361894" w:rsidP="00361894">
      <w:pPr>
        <w:pStyle w:val="Titre2"/>
      </w:pPr>
      <w:bookmarkStart w:id="5" w:name="_Toc161160490"/>
      <w:r>
        <w:t>Exclusion</w:t>
      </w:r>
      <w:bookmarkEnd w:id="5"/>
    </w:p>
    <w:p w14:paraId="44A21989" w14:textId="77777777" w:rsidR="00103D95" w:rsidRDefault="00103D95" w:rsidP="00103D95">
      <w:r>
        <w:t>Notre politique d’exclusion s’articule autour de quatre thèmes principaux. Sont exclues de nos solutions d’investissement :</w:t>
      </w:r>
    </w:p>
    <w:p w14:paraId="19BA6621" w14:textId="71285006" w:rsidR="00103D95" w:rsidRDefault="00103D95" w:rsidP="00103D95">
      <w:pPr>
        <w:pStyle w:val="Paragraphedeliste"/>
        <w:numPr>
          <w:ilvl w:val="0"/>
          <w:numId w:val="36"/>
        </w:numPr>
      </w:pPr>
      <w:r>
        <w:t>Les sociétés qui appartiennent aux secteurs du tabac, des armements controversés, du charbon thermique</w:t>
      </w:r>
      <w:r w:rsidR="0014373F">
        <w:t>, du pétrole et du ga</w:t>
      </w:r>
      <w:r w:rsidR="00D7564A">
        <w:t>z</w:t>
      </w:r>
      <w:r w:rsidR="0014373F">
        <w:t xml:space="preserve"> non conventionnel (à partir de certaines limites définies)</w:t>
      </w:r>
      <w:r>
        <w:t xml:space="preserve"> et qui constituent de fait un risque important pour l'environnement et les populations. </w:t>
      </w:r>
    </w:p>
    <w:p w14:paraId="1EECACCC" w14:textId="77777777" w:rsidR="00103D95" w:rsidRDefault="00103D95" w:rsidP="00103D95">
      <w:pPr>
        <w:pStyle w:val="Paragraphedeliste"/>
        <w:numPr>
          <w:ilvl w:val="0"/>
          <w:numId w:val="36"/>
        </w:numPr>
      </w:pPr>
      <w:r>
        <w:t xml:space="preserve">Toutes les sociétés violant le Pacte Mondial des Nations Unies ou qui sont localisées dans un des pays qui figurent dans la liste des pays sous sanction des Nations Unies. </w:t>
      </w:r>
    </w:p>
    <w:p w14:paraId="78ADD969" w14:textId="77777777" w:rsidR="00103D95" w:rsidRDefault="00103D95" w:rsidP="00103D95">
      <w:pPr>
        <w:pStyle w:val="Paragraphedeliste"/>
        <w:numPr>
          <w:ilvl w:val="0"/>
          <w:numId w:val="36"/>
        </w:numPr>
      </w:pPr>
      <w:r>
        <w:t>Les produits liés aux matières premières agricoles (futures, ETF) ainsi que les sociétés productrices d’huile de palme.</w:t>
      </w:r>
    </w:p>
    <w:p w14:paraId="407A800A" w14:textId="77777777" w:rsidR="00103D95" w:rsidRDefault="00103D95" w:rsidP="00103D95">
      <w:pPr>
        <w:pStyle w:val="Paragraphedeliste"/>
        <w:numPr>
          <w:ilvl w:val="0"/>
          <w:numId w:val="36"/>
        </w:numPr>
      </w:pPr>
      <w:r>
        <w:t xml:space="preserve">Les sociétés qui font l’objet de controverses jugées comme graves et répétées par les comités internes Exclusion et Réputation chez Amplegest, ainsi que les entreprises notées CCC </w:t>
      </w:r>
      <w:proofErr w:type="spellStart"/>
      <w:r>
        <w:t>our</w:t>
      </w:r>
      <w:proofErr w:type="spellEnd"/>
      <w:r>
        <w:t xml:space="preserve"> Red Flag par MSCI.</w:t>
      </w:r>
    </w:p>
    <w:p w14:paraId="368ED2E1" w14:textId="77777777" w:rsidR="00103D95" w:rsidRDefault="00103D95" w:rsidP="00103D95"/>
    <w:p w14:paraId="203CD403" w14:textId="77777777" w:rsidR="00103D95" w:rsidRDefault="00103D95" w:rsidP="00103D95">
      <w:r>
        <w:t>*Pour plus d’informations, la politique d’exclusion est disponible sur le site d’Amplegest www.amplegest.com</w:t>
      </w:r>
    </w:p>
    <w:p w14:paraId="2B7124FB" w14:textId="77777777" w:rsidR="000650C4" w:rsidRDefault="000650C4" w:rsidP="0059254B"/>
    <w:p w14:paraId="03751BD6" w14:textId="1FD17EC8" w:rsidR="00BA701A" w:rsidRDefault="00BA701A" w:rsidP="00BA701A">
      <w:pPr>
        <w:pStyle w:val="Titre2"/>
      </w:pPr>
      <w:bookmarkStart w:id="6" w:name="_Toc161160491"/>
      <w:r>
        <w:t>Notation ESG</w:t>
      </w:r>
      <w:bookmarkEnd w:id="6"/>
    </w:p>
    <w:p w14:paraId="6C8C9736" w14:textId="77777777" w:rsidR="00E9099A" w:rsidRDefault="00E9099A" w:rsidP="00E9099A">
      <w:r>
        <w:t xml:space="preserve">Pour la partie du portefeuille investie en titres vifs, la notation extra financière des émetteurs s’appuie sur le système de notation externe MSCI </w:t>
      </w:r>
      <w:proofErr w:type="spellStart"/>
      <w:r>
        <w:t>Research</w:t>
      </w:r>
      <w:proofErr w:type="spellEnd"/>
      <w:r>
        <w:t xml:space="preserve"> et s’applique à l’ensemble des </w:t>
      </w:r>
      <w:r>
        <w:lastRenderedPageBreak/>
        <w:t xml:space="preserve">valeurs de l’univers d’investissement. Elle repose sur les trois piliers de l’ESG (Environnement, Social et Gouvernance) et rassemble différents thèmes d’investissements : </w:t>
      </w:r>
    </w:p>
    <w:p w14:paraId="1C7AC32A" w14:textId="77777777" w:rsidR="00103D95" w:rsidRDefault="00103D95" w:rsidP="00103D95">
      <w:pPr>
        <w:pStyle w:val="Paragraphedeliste"/>
        <w:numPr>
          <w:ilvl w:val="0"/>
          <w:numId w:val="38"/>
        </w:numPr>
      </w:pPr>
      <w:r>
        <w:t>L’analyse du pilier Environnement repose sur l’analyse des risques concernant le changement climatique, le capital naturel, la pollution/déchets et des opportunités environnementales.</w:t>
      </w:r>
    </w:p>
    <w:p w14:paraId="2C9DF3DB" w14:textId="77777777" w:rsidR="00103D95" w:rsidRDefault="00103D95" w:rsidP="00103D95">
      <w:pPr>
        <w:pStyle w:val="Paragraphedeliste"/>
        <w:numPr>
          <w:ilvl w:val="0"/>
          <w:numId w:val="38"/>
        </w:numPr>
      </w:pPr>
      <w:r>
        <w:t>L’analyse du pilier Social repose sur l’analyse des risques du capital humain, de la responsabilité du produit, des parties prenantes et des opportunités sociales.</w:t>
      </w:r>
    </w:p>
    <w:p w14:paraId="42A0EAFB" w14:textId="77777777" w:rsidR="00103D95" w:rsidRDefault="00103D95" w:rsidP="00103D95">
      <w:pPr>
        <w:pStyle w:val="Paragraphedeliste"/>
        <w:numPr>
          <w:ilvl w:val="0"/>
          <w:numId w:val="38"/>
        </w:numPr>
      </w:pPr>
      <w:r>
        <w:t xml:space="preserve">L’analyse du pilier Gouvernance repose sur l’analyse des risques de la gouvernance de l’entreprise (conseil d’administration, rémunération, comptabilité etc.) et du comportement de l’entreprise. Notamment : </w:t>
      </w:r>
    </w:p>
    <w:p w14:paraId="32637188" w14:textId="77777777" w:rsidR="00103D95" w:rsidRDefault="00103D95" w:rsidP="00103D95">
      <w:pPr>
        <w:pStyle w:val="Paragraphedeliste"/>
        <w:numPr>
          <w:ilvl w:val="0"/>
          <w:numId w:val="37"/>
        </w:numPr>
      </w:pPr>
      <w:r>
        <w:t>Au contrôle et à l’actionnariat</w:t>
      </w:r>
    </w:p>
    <w:p w14:paraId="2C0739C9" w14:textId="77777777" w:rsidR="00103D95" w:rsidRDefault="00103D95" w:rsidP="00103D95">
      <w:pPr>
        <w:pStyle w:val="Paragraphedeliste"/>
        <w:numPr>
          <w:ilvl w:val="0"/>
          <w:numId w:val="37"/>
        </w:numPr>
      </w:pPr>
      <w:r>
        <w:t>A la rémunération</w:t>
      </w:r>
    </w:p>
    <w:p w14:paraId="2C40A385" w14:textId="77777777" w:rsidR="00103D95" w:rsidRDefault="00103D95" w:rsidP="00103D95">
      <w:pPr>
        <w:pStyle w:val="Paragraphedeliste"/>
        <w:numPr>
          <w:ilvl w:val="0"/>
          <w:numId w:val="37"/>
        </w:numPr>
      </w:pPr>
      <w:r>
        <w:t>Aux différents comités de gouvernance</w:t>
      </w:r>
    </w:p>
    <w:p w14:paraId="46CDF471" w14:textId="77777777" w:rsidR="00103D95" w:rsidRDefault="00103D95" w:rsidP="00103D95">
      <w:pPr>
        <w:pStyle w:val="Paragraphedeliste"/>
        <w:numPr>
          <w:ilvl w:val="0"/>
          <w:numId w:val="37"/>
        </w:numPr>
      </w:pPr>
      <w:r>
        <w:t>A la comptabilité</w:t>
      </w:r>
    </w:p>
    <w:p w14:paraId="662765B2" w14:textId="77777777" w:rsidR="00103D95" w:rsidRDefault="00103D95" w:rsidP="00103D95">
      <w:pPr>
        <w:pStyle w:val="Paragraphedeliste"/>
        <w:numPr>
          <w:ilvl w:val="0"/>
          <w:numId w:val="37"/>
        </w:numPr>
      </w:pPr>
      <w:r>
        <w:t>A l’éthique (corruption, blanchiment d’argent, standards éthiques, etc.)</w:t>
      </w:r>
    </w:p>
    <w:p w14:paraId="107544EB" w14:textId="77777777" w:rsidR="00103D95" w:rsidRDefault="00103D95" w:rsidP="00103D95">
      <w:pPr>
        <w:pStyle w:val="Paragraphedeliste"/>
        <w:numPr>
          <w:ilvl w:val="0"/>
          <w:numId w:val="37"/>
        </w:numPr>
      </w:pPr>
      <w:r>
        <w:t>A la transparence fiscale</w:t>
      </w:r>
    </w:p>
    <w:p w14:paraId="31828390" w14:textId="77777777" w:rsidR="00A71BF1" w:rsidRPr="000E407C" w:rsidRDefault="00A71BF1" w:rsidP="00A71BF1"/>
    <w:p w14:paraId="7032803A" w14:textId="4CDDA61A" w:rsidR="002578AE" w:rsidRDefault="0010043C" w:rsidP="000E407C">
      <w:pPr>
        <w:pStyle w:val="Titre1"/>
        <w:shd w:val="clear" w:color="auto" w:fill="1B2D51"/>
      </w:pPr>
      <w:bookmarkStart w:id="7" w:name="_Toc161160492"/>
      <w:r>
        <w:rPr>
          <w:rFonts w:ascii="Century Gothic" w:hAnsi="Century Gothic"/>
        </w:rPr>
        <w:t>Stratégie d’investissement</w:t>
      </w:r>
      <w:bookmarkEnd w:id="7"/>
    </w:p>
    <w:p w14:paraId="4AFD8180" w14:textId="283343D9" w:rsidR="006167AC" w:rsidRDefault="006167AC" w:rsidP="006167AC">
      <w:pPr>
        <w:pStyle w:val="Titre2"/>
      </w:pPr>
      <w:bookmarkStart w:id="8" w:name="_Toc161160493"/>
      <w:r>
        <w:t>Intégration ESG</w:t>
      </w:r>
      <w:bookmarkEnd w:id="8"/>
    </w:p>
    <w:p w14:paraId="2E8675EA" w14:textId="53E31DDD" w:rsidR="00833F83" w:rsidRDefault="00833F83" w:rsidP="001272A7">
      <w:r>
        <w:t xml:space="preserve">Les éléments contraignants de la stratégie d'investissement sont les suivants : </w:t>
      </w:r>
    </w:p>
    <w:p w14:paraId="080A02AD" w14:textId="77777777" w:rsidR="00A20849" w:rsidRPr="00393D45" w:rsidRDefault="00A20849" w:rsidP="00A20849">
      <w:pPr>
        <w:pStyle w:val="Paragraphedeliste"/>
        <w:numPr>
          <w:ilvl w:val="0"/>
          <w:numId w:val="43"/>
        </w:numPr>
        <w:spacing w:line="259" w:lineRule="auto"/>
        <w:contextualSpacing w:val="0"/>
        <w:rPr>
          <w:rFonts w:eastAsia="Calibri" w:cstheme="minorHAnsi"/>
          <w:noProof/>
          <w:szCs w:val="22"/>
          <w:highlight w:val="yellow"/>
          <w:lang w:val="fr-LU"/>
        </w:rPr>
      </w:pPr>
      <w:r w:rsidRPr="00393D45">
        <w:rPr>
          <w:rFonts w:eastAsia="Calibri" w:cstheme="minorHAnsi"/>
          <w:noProof/>
          <w:szCs w:val="22"/>
          <w:highlight w:val="yellow"/>
          <w:lang w:val="fr-LU"/>
        </w:rPr>
        <w:t xml:space="preserve">Pour la partie du portefeuille détenue en titres vifs </w:t>
      </w:r>
    </w:p>
    <w:p w14:paraId="031564F8" w14:textId="77777777" w:rsidR="00A20849" w:rsidRPr="00393D45" w:rsidRDefault="00A20849" w:rsidP="00A20849">
      <w:pPr>
        <w:pStyle w:val="Paragraphedeliste"/>
        <w:numPr>
          <w:ilvl w:val="1"/>
          <w:numId w:val="43"/>
        </w:numPr>
        <w:spacing w:line="259" w:lineRule="auto"/>
        <w:contextualSpacing w:val="0"/>
        <w:rPr>
          <w:rFonts w:eastAsia="Calibri" w:cstheme="minorHAnsi"/>
          <w:i/>
          <w:iCs/>
          <w:noProof/>
          <w:szCs w:val="22"/>
          <w:highlight w:val="yellow"/>
          <w:lang w:val="fr-LU"/>
        </w:rPr>
      </w:pPr>
      <w:r w:rsidRPr="00393D45">
        <w:rPr>
          <w:rFonts w:eastAsia="Calibri" w:cstheme="minorHAnsi"/>
          <w:i/>
          <w:iCs/>
          <w:noProof/>
          <w:szCs w:val="22"/>
          <w:highlight w:val="yellow"/>
          <w:lang w:val="fr-LU"/>
        </w:rPr>
        <w:t>Respect de la liste d’exclusion d’Amplegest</w:t>
      </w:r>
    </w:p>
    <w:p w14:paraId="66CF2175" w14:textId="77777777" w:rsidR="00A20849" w:rsidRPr="00393D45" w:rsidRDefault="00A20849" w:rsidP="00A20849">
      <w:pPr>
        <w:pStyle w:val="Paragraphedeliste"/>
        <w:numPr>
          <w:ilvl w:val="1"/>
          <w:numId w:val="43"/>
        </w:numPr>
        <w:spacing w:line="259" w:lineRule="auto"/>
        <w:contextualSpacing w:val="0"/>
        <w:rPr>
          <w:rFonts w:eastAsia="Calibri" w:cstheme="minorHAnsi"/>
          <w:noProof/>
          <w:szCs w:val="22"/>
          <w:highlight w:val="yellow"/>
          <w:lang w:val="fr-LU"/>
        </w:rPr>
      </w:pPr>
      <w:r w:rsidRPr="00393D45">
        <w:rPr>
          <w:rFonts w:eastAsia="Calibri" w:cstheme="minorHAnsi"/>
          <w:i/>
          <w:iCs/>
          <w:noProof/>
          <w:szCs w:val="22"/>
          <w:highlight w:val="yellow"/>
          <w:lang w:val="fr-LU"/>
        </w:rPr>
        <w:t xml:space="preserve">Sélectivité :  </w:t>
      </w:r>
      <w:r w:rsidRPr="00393D45">
        <w:rPr>
          <w:rFonts w:eastAsia="Calibri" w:cstheme="minorHAnsi"/>
          <w:noProof/>
          <w:szCs w:val="22"/>
          <w:highlight w:val="yellow"/>
          <w:lang w:val="fr-LU"/>
        </w:rPr>
        <w:t>pour la partie du portefeuille détenue en titres vifs, le fonds procède à une réduction de son univers d’investissement de 20% minimum à l’aide du  système de notation MSCI Research.</w:t>
      </w:r>
    </w:p>
    <w:p w14:paraId="33437B85" w14:textId="77777777" w:rsidR="00A20849" w:rsidRPr="00393D45" w:rsidRDefault="00A20849" w:rsidP="00A20849">
      <w:pPr>
        <w:pStyle w:val="Paragraphedeliste"/>
        <w:numPr>
          <w:ilvl w:val="0"/>
          <w:numId w:val="43"/>
        </w:numPr>
        <w:spacing w:line="259" w:lineRule="auto"/>
        <w:contextualSpacing w:val="0"/>
        <w:rPr>
          <w:rFonts w:eastAsia="Calibri" w:cstheme="minorHAnsi"/>
          <w:noProof/>
          <w:szCs w:val="22"/>
          <w:highlight w:val="yellow"/>
          <w:lang w:val="fr-LU"/>
        </w:rPr>
      </w:pPr>
      <w:r w:rsidRPr="00393D45">
        <w:rPr>
          <w:rFonts w:eastAsia="Calibri" w:cstheme="minorHAnsi"/>
          <w:noProof/>
          <w:szCs w:val="22"/>
          <w:highlight w:val="yellow"/>
          <w:lang w:val="fr-LU"/>
        </w:rPr>
        <w:t xml:space="preserve">Pour la partie du portefeuille détenue en OPC, ETF/trackers : </w:t>
      </w:r>
    </w:p>
    <w:p w14:paraId="3EE66B04" w14:textId="77777777" w:rsidR="00A20849" w:rsidRPr="00393D45" w:rsidRDefault="00A20849" w:rsidP="00A20849">
      <w:pPr>
        <w:pStyle w:val="Paragraphedeliste"/>
        <w:numPr>
          <w:ilvl w:val="1"/>
          <w:numId w:val="43"/>
        </w:numPr>
        <w:spacing w:line="259" w:lineRule="auto"/>
        <w:contextualSpacing w:val="0"/>
        <w:rPr>
          <w:rFonts w:eastAsia="Calibri" w:cstheme="minorHAnsi"/>
          <w:noProof/>
          <w:szCs w:val="22"/>
          <w:highlight w:val="yellow"/>
          <w:lang w:val="fr-LU"/>
        </w:rPr>
      </w:pPr>
      <w:r w:rsidRPr="00393D45">
        <w:rPr>
          <w:rFonts w:eastAsia="Calibri" w:cstheme="minorHAnsi"/>
          <w:noProof/>
          <w:szCs w:val="22"/>
          <w:highlight w:val="yellow"/>
          <w:lang w:val="fr-LU"/>
        </w:rPr>
        <w:t>Le fonds a vocation à investir principalement dans des OPC, ETF/trackers classés article 8 ou 9 au sens du Règlement SFDR.</w:t>
      </w:r>
    </w:p>
    <w:p w14:paraId="28A46028" w14:textId="77777777" w:rsidR="00A20849" w:rsidRPr="00393D45" w:rsidRDefault="00A20849" w:rsidP="00A20849">
      <w:pPr>
        <w:pStyle w:val="Paragraphedeliste"/>
        <w:numPr>
          <w:ilvl w:val="0"/>
          <w:numId w:val="43"/>
        </w:numPr>
        <w:spacing w:line="259" w:lineRule="auto"/>
        <w:contextualSpacing w:val="0"/>
        <w:rPr>
          <w:rFonts w:eastAsia="Calibri" w:cstheme="minorHAnsi"/>
          <w:noProof/>
          <w:szCs w:val="22"/>
          <w:highlight w:val="yellow"/>
          <w:lang w:val="fr-LU"/>
        </w:rPr>
      </w:pPr>
      <w:r w:rsidRPr="00393D45">
        <w:rPr>
          <w:rFonts w:eastAsia="Calibri" w:cstheme="minorHAnsi"/>
          <w:noProof/>
          <w:szCs w:val="22"/>
          <w:highlight w:val="yellow"/>
          <w:lang w:val="fr-LU"/>
        </w:rPr>
        <w:t>Pour l’ensemble du portefeuille</w:t>
      </w:r>
      <w:r w:rsidRPr="00393D45">
        <w:rPr>
          <w:rFonts w:eastAsia="Calibri" w:cstheme="minorHAnsi"/>
          <w:i/>
          <w:iCs/>
          <w:noProof/>
          <w:szCs w:val="22"/>
          <w:highlight w:val="yellow"/>
          <w:lang w:val="fr-LU"/>
        </w:rPr>
        <w:t xml:space="preserve"> : </w:t>
      </w:r>
    </w:p>
    <w:p w14:paraId="4509A0FE" w14:textId="77777777" w:rsidR="00A20849" w:rsidRPr="00393D45" w:rsidRDefault="00A20849" w:rsidP="00A20849">
      <w:pPr>
        <w:pStyle w:val="Paragraphedeliste"/>
        <w:numPr>
          <w:ilvl w:val="1"/>
          <w:numId w:val="43"/>
        </w:numPr>
        <w:spacing w:line="259" w:lineRule="auto"/>
        <w:contextualSpacing w:val="0"/>
        <w:rPr>
          <w:rFonts w:eastAsia="Calibri" w:cstheme="minorHAnsi"/>
          <w:noProof/>
          <w:szCs w:val="22"/>
          <w:highlight w:val="yellow"/>
          <w:lang w:val="fr-LU"/>
        </w:rPr>
      </w:pPr>
      <w:r w:rsidRPr="00393D45">
        <w:rPr>
          <w:rFonts w:eastAsia="Calibri" w:cstheme="minorHAnsi"/>
          <w:i/>
          <w:iCs/>
          <w:noProof/>
          <w:szCs w:val="22"/>
          <w:highlight w:val="yellow"/>
          <w:lang w:val="fr-LU"/>
        </w:rPr>
        <w:t>Alignement sur les caractéristiques Environnementales et sociales</w:t>
      </w:r>
      <w:r w:rsidRPr="00393D45">
        <w:rPr>
          <w:rFonts w:eastAsia="Calibri" w:cstheme="minorHAnsi"/>
          <w:noProof/>
          <w:szCs w:val="22"/>
          <w:highlight w:val="yellow"/>
          <w:lang w:val="fr-LU"/>
        </w:rPr>
        <w:t> : au minimum  60% de l’ensemble du portefeuille sera aligné sur des caractéristiques environnementales et sociales, le taux d’analyse extra financière des investissements composant cette portion du portefeuille (qui exclut les liquidités, les dérivés et les obligations d’Etat) étant au minimum de 90%.</w:t>
      </w:r>
    </w:p>
    <w:p w14:paraId="3898C82B" w14:textId="77777777" w:rsidR="004441A4" w:rsidRPr="00A20849" w:rsidRDefault="004441A4" w:rsidP="006D23B3">
      <w:pPr>
        <w:jc w:val="center"/>
        <w:rPr>
          <w:lang w:val="fr-LU"/>
        </w:rPr>
      </w:pPr>
    </w:p>
    <w:p w14:paraId="09877D33" w14:textId="4522B24C" w:rsidR="006167AC" w:rsidRDefault="006167AC" w:rsidP="006167AC">
      <w:pPr>
        <w:pStyle w:val="Titre2"/>
      </w:pPr>
      <w:bookmarkStart w:id="9" w:name="_Toc161160494"/>
      <w:r>
        <w:t>Gouvernance</w:t>
      </w:r>
      <w:bookmarkEnd w:id="9"/>
    </w:p>
    <w:p w14:paraId="24613F52" w14:textId="3B3F00B4" w:rsidR="009E746D" w:rsidRDefault="009E746D" w:rsidP="009E746D">
      <w:r>
        <w:t>Les pratiques de bonne gouvernance des entreprises et plus particulièrement les risques liés à la gouvernance des entreprises investies sont pris en compte dans la notation MSCI de l’univers d’investissement du fonds. Nous analysons notamment les sujets liés :</w:t>
      </w:r>
    </w:p>
    <w:p w14:paraId="41C6E848" w14:textId="229507E1" w:rsidR="009E746D" w:rsidRDefault="009E746D" w:rsidP="009E746D">
      <w:pPr>
        <w:pStyle w:val="Paragraphedeliste"/>
        <w:numPr>
          <w:ilvl w:val="0"/>
          <w:numId w:val="40"/>
        </w:numPr>
      </w:pPr>
      <w:r>
        <w:t xml:space="preserve">Au contrôle et à l’actionnariat, </w:t>
      </w:r>
    </w:p>
    <w:p w14:paraId="06C9F48A" w14:textId="2565C15A" w:rsidR="009E746D" w:rsidRDefault="009E746D" w:rsidP="009E746D">
      <w:pPr>
        <w:pStyle w:val="Paragraphedeliste"/>
        <w:numPr>
          <w:ilvl w:val="0"/>
          <w:numId w:val="40"/>
        </w:numPr>
      </w:pPr>
      <w:r>
        <w:t xml:space="preserve">A la rémunération des dirigeants, </w:t>
      </w:r>
    </w:p>
    <w:p w14:paraId="0CB71892" w14:textId="1EBD020B" w:rsidR="009E746D" w:rsidRDefault="009E746D" w:rsidP="009E746D">
      <w:pPr>
        <w:pStyle w:val="Paragraphedeliste"/>
        <w:numPr>
          <w:ilvl w:val="0"/>
          <w:numId w:val="40"/>
        </w:numPr>
      </w:pPr>
      <w:r>
        <w:t xml:space="preserve">Aux différents comités de gouvernance, </w:t>
      </w:r>
    </w:p>
    <w:p w14:paraId="6736429F" w14:textId="589AB477" w:rsidR="009E746D" w:rsidRDefault="009E746D" w:rsidP="009E746D">
      <w:pPr>
        <w:pStyle w:val="Paragraphedeliste"/>
        <w:numPr>
          <w:ilvl w:val="0"/>
          <w:numId w:val="40"/>
        </w:numPr>
      </w:pPr>
      <w:r>
        <w:t xml:space="preserve">A la comptabilité, </w:t>
      </w:r>
    </w:p>
    <w:p w14:paraId="2DC0A600" w14:textId="7A8C758E" w:rsidR="009E746D" w:rsidRDefault="009E746D" w:rsidP="009E746D">
      <w:pPr>
        <w:pStyle w:val="Paragraphedeliste"/>
        <w:numPr>
          <w:ilvl w:val="0"/>
          <w:numId w:val="40"/>
        </w:numPr>
      </w:pPr>
      <w:r>
        <w:t>A l’éthique,</w:t>
      </w:r>
    </w:p>
    <w:p w14:paraId="464856A7" w14:textId="39BB4858" w:rsidR="002D7856" w:rsidRDefault="009E746D" w:rsidP="009E746D">
      <w:pPr>
        <w:pStyle w:val="Paragraphedeliste"/>
        <w:numPr>
          <w:ilvl w:val="0"/>
          <w:numId w:val="40"/>
        </w:numPr>
      </w:pPr>
      <w:proofErr w:type="gramStart"/>
      <w:r>
        <w:t>et</w:t>
      </w:r>
      <w:proofErr w:type="gramEnd"/>
      <w:r>
        <w:t xml:space="preserve"> à la transparence fiscale.</w:t>
      </w:r>
    </w:p>
    <w:p w14:paraId="55DC72E4" w14:textId="77777777" w:rsidR="002D7856" w:rsidRDefault="002D7856" w:rsidP="00833F83"/>
    <w:p w14:paraId="57A1C06D" w14:textId="6AB9CAC8" w:rsidR="001272A7" w:rsidRPr="0010043C" w:rsidRDefault="0010043C" w:rsidP="0010043C">
      <w:pPr>
        <w:pStyle w:val="Titre1"/>
        <w:rPr>
          <w:rFonts w:ascii="Century Gothic" w:hAnsi="Century Gothic"/>
        </w:rPr>
      </w:pPr>
      <w:bookmarkStart w:id="10" w:name="_Toc161160495"/>
      <w:r w:rsidRPr="0010043C">
        <w:rPr>
          <w:rFonts w:ascii="Century Gothic" w:hAnsi="Century Gothic"/>
        </w:rPr>
        <w:lastRenderedPageBreak/>
        <w:t>Proportion d’investissement</w:t>
      </w:r>
      <w:bookmarkEnd w:id="10"/>
    </w:p>
    <w:p w14:paraId="02E860B3" w14:textId="5C8BC631" w:rsidR="002C15B6" w:rsidRDefault="00E91A80" w:rsidP="001272A7">
      <w:r>
        <w:t>Alpha Convictions</w:t>
      </w:r>
      <w:r w:rsidR="00B1489B">
        <w:t xml:space="preserve"> Obligataire</w:t>
      </w:r>
      <w:r w:rsidR="00995569">
        <w:t xml:space="preserve"> </w:t>
      </w:r>
      <w:r w:rsidR="005839BF">
        <w:t xml:space="preserve">doit investir au moins </w:t>
      </w:r>
      <w:r w:rsidR="009E746D">
        <w:t>6</w:t>
      </w:r>
      <w:r w:rsidR="005839BF">
        <w:t xml:space="preserve">0% de </w:t>
      </w:r>
      <w:r w:rsidR="005021F2">
        <w:t>son</w:t>
      </w:r>
      <w:r w:rsidR="00FB78B4">
        <w:t xml:space="preserve"> </w:t>
      </w:r>
      <w:r w:rsidR="005839BF">
        <w:t xml:space="preserve">actif net dans des instruments qui intègrent des caractéristiques E/S (environnementales ou sociales). Le portefeuille </w:t>
      </w:r>
      <w:r w:rsidR="005021F2">
        <w:t>e</w:t>
      </w:r>
      <w:r w:rsidR="005839BF">
        <w:t xml:space="preserve">st autorisé à investir le reste de </w:t>
      </w:r>
      <w:r w:rsidR="005021F2">
        <w:t>son</w:t>
      </w:r>
      <w:r w:rsidR="005839BF">
        <w:t xml:space="preserve"> actif net dans d’autres placements tels que des sociétés pour lesquelles on ne dispose pas d’information ESG, des liquidités et des instruments dérivés (selon les fonds). </w:t>
      </w:r>
    </w:p>
    <w:p w14:paraId="58B450FE" w14:textId="77777777" w:rsidR="002C15B6" w:rsidRDefault="002C15B6" w:rsidP="001272A7"/>
    <w:p w14:paraId="317E73DD" w14:textId="02A87CA2" w:rsidR="00B428CC" w:rsidRDefault="00E91A80" w:rsidP="001272A7">
      <w:r>
        <w:t>Alpha Convictions</w:t>
      </w:r>
      <w:r w:rsidR="005021F2">
        <w:t xml:space="preserve"> </w:t>
      </w:r>
      <w:r w:rsidR="002C15B6">
        <w:t xml:space="preserve">ne s'engage actuellement pas à investir dans un investissement durable au sens de la taxinomie de l'UE, mais uniquement au sens du règlement sur la publication des informations en matière de finance durable ("SFDR"). </w:t>
      </w:r>
    </w:p>
    <w:p w14:paraId="02EE79AE" w14:textId="44BB5442" w:rsidR="002C15B6" w:rsidRDefault="00B428CC" w:rsidP="001272A7">
      <w:r>
        <w:t>A</w:t>
      </w:r>
      <w:r w:rsidR="002C15B6">
        <w:t xml:space="preserve"> mesure que les règles sous-jacentes sont </w:t>
      </w:r>
      <w:r w:rsidR="002C15B6" w:rsidRPr="00097566">
        <w:t>finalisées et que la disponibilité de données fiables augmente au fil du temps</w:t>
      </w:r>
      <w:r w:rsidRPr="00097566">
        <w:t>, notre méthodologie est susceptible</w:t>
      </w:r>
      <w:r w:rsidR="00FB78B4" w:rsidRPr="00097566">
        <w:t> </w:t>
      </w:r>
      <w:r w:rsidR="00262D24" w:rsidRPr="00097566">
        <w:t>d’évoluer</w:t>
      </w:r>
      <w:r w:rsidR="002C15B6" w:rsidRPr="00097566">
        <w:t>. Par</w:t>
      </w:r>
      <w:r w:rsidR="002C15B6">
        <w:t xml:space="preserve"> conséquent, l'alignement sur la taxinomie de l'UE des investissements de ce fonds n'a pas été calculé et a donc été considéré comme constituant 0 % du portefeuille.</w:t>
      </w:r>
    </w:p>
    <w:p w14:paraId="6957B256" w14:textId="77777777" w:rsidR="0010043C" w:rsidRDefault="0010043C" w:rsidP="001272A7"/>
    <w:p w14:paraId="7D90F548" w14:textId="7D1888AC" w:rsidR="001272A7" w:rsidRPr="0010043C" w:rsidRDefault="0010043C" w:rsidP="0010043C">
      <w:pPr>
        <w:pStyle w:val="Titre1"/>
        <w:rPr>
          <w:rFonts w:ascii="Century Gothic" w:hAnsi="Century Gothic"/>
        </w:rPr>
      </w:pPr>
      <w:bookmarkStart w:id="11" w:name="_Toc161160496"/>
      <w:r w:rsidRPr="0010043C">
        <w:rPr>
          <w:rFonts w:ascii="Century Gothic" w:hAnsi="Century Gothic"/>
        </w:rPr>
        <w:t>Contrôle des caractéristiques environnementales ou sociales</w:t>
      </w:r>
      <w:bookmarkEnd w:id="11"/>
    </w:p>
    <w:p w14:paraId="7A47A86D" w14:textId="4D33C68C" w:rsidR="005021F2" w:rsidRDefault="005021F2" w:rsidP="005021F2">
      <w:bookmarkStart w:id="12" w:name="_Hlk140567995"/>
      <w:r>
        <w:t xml:space="preserve">Pour mesurer la réalisation de ses caractéristiques environnementales ou sociales, </w:t>
      </w:r>
      <w:r w:rsidR="00E91A80">
        <w:t>Alpha Convictions</w:t>
      </w:r>
      <w:r>
        <w:t xml:space="preserve"> utilise </w:t>
      </w:r>
      <w:r w:rsidR="009D05CB">
        <w:t xml:space="preserve">les données de MSCI. </w:t>
      </w:r>
    </w:p>
    <w:p w14:paraId="2A154A9F" w14:textId="77777777" w:rsidR="005021F2" w:rsidRDefault="005021F2" w:rsidP="005021F2"/>
    <w:p w14:paraId="0DDC7455" w14:textId="77777777" w:rsidR="005021F2" w:rsidRDefault="005021F2" w:rsidP="005021F2">
      <w:r>
        <w:t>Ce modèle fait l’objet de contrôles pré-</w:t>
      </w:r>
      <w:proofErr w:type="spellStart"/>
      <w:r>
        <w:t>trade</w:t>
      </w:r>
      <w:proofErr w:type="spellEnd"/>
      <w:r>
        <w:t xml:space="preserve"> et/ou post-</w:t>
      </w:r>
      <w:proofErr w:type="spellStart"/>
      <w:r>
        <w:t>trade</w:t>
      </w:r>
      <w:proofErr w:type="spellEnd"/>
      <w:r>
        <w:t xml:space="preserve">. </w:t>
      </w:r>
    </w:p>
    <w:p w14:paraId="67027A82" w14:textId="77777777" w:rsidR="00AB3974" w:rsidRDefault="005021F2" w:rsidP="00AB3974">
      <w:pPr>
        <w:pStyle w:val="Paragraphedeliste"/>
        <w:numPr>
          <w:ilvl w:val="0"/>
          <w:numId w:val="33"/>
        </w:numPr>
      </w:pPr>
      <w:r>
        <w:t>Vérification pré-</w:t>
      </w:r>
      <w:proofErr w:type="spellStart"/>
      <w:r>
        <w:t>trade</w:t>
      </w:r>
      <w:proofErr w:type="spellEnd"/>
      <w:r>
        <w:t xml:space="preserve"> par les équipes de gestion d</w:t>
      </w:r>
      <w:r w:rsidR="00AB3974">
        <w:t>u respect de l’approche en sélectivité</w:t>
      </w:r>
    </w:p>
    <w:p w14:paraId="67CD6E96" w14:textId="4581D229" w:rsidR="005021F2" w:rsidRDefault="005021F2" w:rsidP="00AB3974">
      <w:pPr>
        <w:pStyle w:val="Paragraphedeliste"/>
        <w:numPr>
          <w:ilvl w:val="0"/>
          <w:numId w:val="33"/>
        </w:numPr>
      </w:pPr>
      <w:r>
        <w:t>Vérification post-</w:t>
      </w:r>
      <w:proofErr w:type="spellStart"/>
      <w:r>
        <w:t>trade</w:t>
      </w:r>
      <w:proofErr w:type="spellEnd"/>
      <w:r>
        <w:t xml:space="preserve"> par les équipes de risques </w:t>
      </w:r>
      <w:r w:rsidR="00AB3974">
        <w:t xml:space="preserve">du respect de l’approche en sélectivité ainsi que du respect du ratio </w:t>
      </w:r>
      <w:bookmarkEnd w:id="12"/>
      <w:r w:rsidR="009D05CB">
        <w:t>d’allocation de 60%/40%</w:t>
      </w:r>
    </w:p>
    <w:p w14:paraId="0D8D5F50" w14:textId="77777777" w:rsidR="0010043C" w:rsidRDefault="0010043C" w:rsidP="001272A7"/>
    <w:p w14:paraId="75AE0665" w14:textId="14C06218" w:rsidR="001272A7" w:rsidRPr="0010043C" w:rsidRDefault="0010043C" w:rsidP="0010043C">
      <w:pPr>
        <w:pStyle w:val="Titre1"/>
        <w:rPr>
          <w:rFonts w:ascii="Century Gothic" w:hAnsi="Century Gothic"/>
        </w:rPr>
      </w:pPr>
      <w:bookmarkStart w:id="13" w:name="_Toc161160497"/>
      <w:r w:rsidRPr="0010043C">
        <w:rPr>
          <w:rFonts w:ascii="Century Gothic" w:hAnsi="Century Gothic"/>
        </w:rPr>
        <w:t>Méthodes</w:t>
      </w:r>
      <w:bookmarkEnd w:id="13"/>
      <w:r w:rsidRPr="0010043C">
        <w:rPr>
          <w:rFonts w:ascii="Century Gothic" w:hAnsi="Century Gothic"/>
        </w:rPr>
        <w:t xml:space="preserve"> </w:t>
      </w:r>
    </w:p>
    <w:p w14:paraId="6C4C9BE2" w14:textId="35F56C3F" w:rsidR="003A35EE" w:rsidRDefault="00A115B8" w:rsidP="005C5699">
      <w:bookmarkStart w:id="14" w:name="_Hlk135830014"/>
      <w:r>
        <w:t>Dans le but d’atteindre l</w:t>
      </w:r>
      <w:r w:rsidR="00DF54F4">
        <w:t>es caractéristiques sociales ou environnementales promues</w:t>
      </w:r>
      <w:r>
        <w:t xml:space="preserve">, </w:t>
      </w:r>
      <w:r w:rsidR="00E91A80">
        <w:t>Alpha Convictions</w:t>
      </w:r>
      <w:r w:rsidR="005C5699">
        <w:t xml:space="preserve"> procède ainsi : </w:t>
      </w:r>
      <w:r w:rsidR="003A35EE" w:rsidRPr="003A35EE">
        <w:t xml:space="preserve">Le fonds </w:t>
      </w:r>
      <w:r w:rsidR="000B2EB5">
        <w:t xml:space="preserve">élimine </w:t>
      </w:r>
      <w:r w:rsidR="009D05CB">
        <w:t>2</w:t>
      </w:r>
      <w:r w:rsidR="000B2EB5">
        <w:t xml:space="preserve">0% des valeurs composant son univers d’investissement en se basant sur les notes ESG de </w:t>
      </w:r>
      <w:r w:rsidR="009D05CB">
        <w:t>notre prestataire de données, MSCI.</w:t>
      </w:r>
    </w:p>
    <w:bookmarkEnd w:id="14"/>
    <w:p w14:paraId="6A857140" w14:textId="77777777" w:rsidR="005A0455" w:rsidRDefault="005A0455" w:rsidP="001272A7"/>
    <w:p w14:paraId="7DC0052D" w14:textId="331F1292" w:rsidR="001272A7" w:rsidRPr="0010043C" w:rsidRDefault="0010043C" w:rsidP="0010043C">
      <w:pPr>
        <w:pStyle w:val="Titre1"/>
        <w:rPr>
          <w:rFonts w:ascii="Century Gothic" w:hAnsi="Century Gothic"/>
        </w:rPr>
      </w:pPr>
      <w:bookmarkStart w:id="15" w:name="_Toc161160498"/>
      <w:r w:rsidRPr="0010043C">
        <w:rPr>
          <w:rFonts w:ascii="Century Gothic" w:hAnsi="Century Gothic"/>
        </w:rPr>
        <w:t>Sources et traitement des données</w:t>
      </w:r>
      <w:bookmarkEnd w:id="15"/>
    </w:p>
    <w:p w14:paraId="23588F64" w14:textId="67B15E91" w:rsidR="0059694B" w:rsidRPr="0059694B" w:rsidRDefault="0059694B" w:rsidP="004D1879">
      <w:pPr>
        <w:rPr>
          <w:b/>
          <w:bCs/>
        </w:rPr>
      </w:pPr>
      <w:bookmarkStart w:id="16" w:name="_Hlk135830464"/>
      <w:r w:rsidRPr="0059694B">
        <w:rPr>
          <w:b/>
          <w:bCs/>
        </w:rPr>
        <w:t xml:space="preserve">Sources de données utilisées </w:t>
      </w:r>
      <w:bookmarkStart w:id="17" w:name="_Hlk140568068"/>
      <w:r w:rsidRPr="0059694B">
        <w:rPr>
          <w:b/>
          <w:bCs/>
        </w:rPr>
        <w:t xml:space="preserve">pour </w:t>
      </w:r>
      <w:r w:rsidR="00AB3974">
        <w:rPr>
          <w:b/>
          <w:bCs/>
        </w:rPr>
        <w:t xml:space="preserve">les caractéristiques E ou </w:t>
      </w:r>
      <w:bookmarkEnd w:id="17"/>
      <w:r w:rsidR="00AB3974">
        <w:rPr>
          <w:b/>
          <w:bCs/>
        </w:rPr>
        <w:t>S</w:t>
      </w:r>
      <w:r w:rsidRPr="0059694B">
        <w:rPr>
          <w:b/>
          <w:bCs/>
        </w:rPr>
        <w:t> :</w:t>
      </w:r>
    </w:p>
    <w:p w14:paraId="2AF45EDD" w14:textId="026BA0AF" w:rsidR="004D1879" w:rsidRDefault="004D1879" w:rsidP="004D1879">
      <w:r>
        <w:t xml:space="preserve">L’équipe ESG dispose </w:t>
      </w:r>
      <w:r w:rsidR="0059694B">
        <w:t xml:space="preserve">de plusieurs sources </w:t>
      </w:r>
      <w:r>
        <w:t xml:space="preserve">pour alimenter son modèle propriétaire </w:t>
      </w:r>
      <w:r w:rsidR="0059694B">
        <w:t xml:space="preserve">ESG </w:t>
      </w:r>
      <w:r>
        <w:t>:</w:t>
      </w:r>
    </w:p>
    <w:p w14:paraId="73F08BEB" w14:textId="4D6260D5" w:rsidR="004D1879" w:rsidRDefault="004D1879" w:rsidP="0059694B">
      <w:pPr>
        <w:pStyle w:val="Paragraphedeliste"/>
        <w:numPr>
          <w:ilvl w:val="0"/>
          <w:numId w:val="15"/>
        </w:numPr>
      </w:pPr>
      <w:r>
        <w:t>Les publications des sociétés (rapports annuels, rapports de développement durable,</w:t>
      </w:r>
      <w:r w:rsidR="00ED27C6">
        <w:t xml:space="preserve"> </w:t>
      </w:r>
      <w:r>
        <w:t>présentations),</w:t>
      </w:r>
    </w:p>
    <w:p w14:paraId="6E34A4E3" w14:textId="3BB44A76" w:rsidR="004D1879" w:rsidRDefault="0059694B" w:rsidP="00ED27C6">
      <w:pPr>
        <w:pStyle w:val="Paragraphedeliste"/>
        <w:numPr>
          <w:ilvl w:val="0"/>
          <w:numId w:val="15"/>
        </w:numPr>
      </w:pPr>
      <w:r>
        <w:t xml:space="preserve">Des </w:t>
      </w:r>
      <w:r w:rsidR="004D1879">
        <w:t>abonnements à des plateformes de données et d’analyses ESG :</w:t>
      </w:r>
    </w:p>
    <w:p w14:paraId="74A695AB" w14:textId="5530CC90" w:rsidR="004D1879" w:rsidRDefault="004D1879" w:rsidP="00ED27C6">
      <w:pPr>
        <w:pStyle w:val="Paragraphedeliste"/>
        <w:numPr>
          <w:ilvl w:val="1"/>
          <w:numId w:val="15"/>
        </w:numPr>
      </w:pPr>
      <w:r>
        <w:t>La plateforme de données environnementales du Carbon Disclosure Project (CDP)</w:t>
      </w:r>
    </w:p>
    <w:p w14:paraId="1CE7525F" w14:textId="205812C5" w:rsidR="004D1879" w:rsidRDefault="004D1879" w:rsidP="00ED27C6">
      <w:pPr>
        <w:pStyle w:val="Paragraphedeliste"/>
        <w:numPr>
          <w:ilvl w:val="1"/>
          <w:numId w:val="15"/>
        </w:numPr>
      </w:pPr>
      <w:r>
        <w:t xml:space="preserve">La plateforme MSCI </w:t>
      </w:r>
      <w:r w:rsidR="005C5699">
        <w:t>pour les controverses</w:t>
      </w:r>
      <w:r w:rsidR="00AB3974">
        <w:t xml:space="preserve"> et la notation </w:t>
      </w:r>
    </w:p>
    <w:p w14:paraId="1A145E06" w14:textId="77777777" w:rsidR="0059694B" w:rsidRDefault="0059694B" w:rsidP="0059694B">
      <w:pPr>
        <w:pStyle w:val="Paragraphedeliste"/>
        <w:numPr>
          <w:ilvl w:val="0"/>
          <w:numId w:val="15"/>
        </w:numPr>
      </w:pPr>
      <w:r>
        <w:t>Les publications d’analyse des Brokers,</w:t>
      </w:r>
    </w:p>
    <w:p w14:paraId="1A67C3DB" w14:textId="2DADFE4A" w:rsidR="0059694B" w:rsidRDefault="0059694B" w:rsidP="0059694B">
      <w:pPr>
        <w:pStyle w:val="Paragraphedeliste"/>
        <w:numPr>
          <w:ilvl w:val="0"/>
          <w:numId w:val="15"/>
        </w:numPr>
      </w:pPr>
      <w:r>
        <w:t>Des meetings société et des visites de sites,</w:t>
      </w:r>
    </w:p>
    <w:p w14:paraId="19D15A77" w14:textId="0701372D" w:rsidR="0059694B" w:rsidRDefault="0059694B" w:rsidP="0059694B">
      <w:pPr>
        <w:pStyle w:val="Paragraphedeliste"/>
        <w:numPr>
          <w:ilvl w:val="0"/>
          <w:numId w:val="15"/>
        </w:numPr>
      </w:pPr>
      <w:r>
        <w:t>Des conférences professionnelles.</w:t>
      </w:r>
    </w:p>
    <w:p w14:paraId="0A968DB1" w14:textId="154D456B" w:rsidR="004D1879" w:rsidRDefault="0059694B" w:rsidP="004441A4">
      <w:r>
        <w:lastRenderedPageBreak/>
        <w:t>Afin de conduire sa politique de vote et d’engagement, l’équipe ESG utilise par ailleurs l</w:t>
      </w:r>
      <w:r w:rsidR="004D1879">
        <w:t xml:space="preserve">es services d’une agence de conseil aux investisseurs, </w:t>
      </w:r>
      <w:proofErr w:type="spellStart"/>
      <w:r w:rsidR="004D1879">
        <w:t>Proxinvest</w:t>
      </w:r>
      <w:proofErr w:type="spellEnd"/>
      <w:r w:rsidR="0017719F">
        <w:t xml:space="preserve"> Glass Lewis</w:t>
      </w:r>
      <w:r>
        <w:t>.</w:t>
      </w:r>
    </w:p>
    <w:p w14:paraId="16C78FD6" w14:textId="77777777" w:rsidR="0059694B" w:rsidRDefault="0059694B" w:rsidP="001272A7"/>
    <w:p w14:paraId="3BF4C764" w14:textId="257C6C28" w:rsidR="005A0455" w:rsidRPr="00F03DFC" w:rsidRDefault="0059694B" w:rsidP="001272A7">
      <w:pPr>
        <w:rPr>
          <w:b/>
          <w:bCs/>
        </w:rPr>
      </w:pPr>
      <w:r w:rsidRPr="0059694B">
        <w:rPr>
          <w:b/>
          <w:bCs/>
        </w:rPr>
        <w:t>Les mesures prises pour garanti</w:t>
      </w:r>
      <w:r w:rsidR="005A0455">
        <w:rPr>
          <w:b/>
          <w:bCs/>
        </w:rPr>
        <w:t>r</w:t>
      </w:r>
      <w:r w:rsidRPr="0059694B">
        <w:rPr>
          <w:b/>
          <w:bCs/>
        </w:rPr>
        <w:t xml:space="preserve"> la qualité des données</w:t>
      </w:r>
    </w:p>
    <w:p w14:paraId="6494976B" w14:textId="7FBECD4E" w:rsidR="0022588A" w:rsidRDefault="0022588A" w:rsidP="001272A7">
      <w:r>
        <w:t xml:space="preserve">Afin de garantir la qualité des données, Amplegest s’efforce d’intégrer le maximum de données brutes, non retraitées et d’internaliser leur traitement. </w:t>
      </w:r>
    </w:p>
    <w:p w14:paraId="183FE847" w14:textId="77777777" w:rsidR="0022588A" w:rsidRDefault="0022588A" w:rsidP="001272A7"/>
    <w:p w14:paraId="0A7F49B6" w14:textId="4AF900E0" w:rsidR="00A05AD3" w:rsidRDefault="005A0455" w:rsidP="001272A7">
      <w:r>
        <w:t>Les données utilisées dans no</w:t>
      </w:r>
      <w:r w:rsidR="0022588A">
        <w:t xml:space="preserve">s </w:t>
      </w:r>
      <w:r>
        <w:t>modèle</w:t>
      </w:r>
      <w:r w:rsidR="0022588A">
        <w:t xml:space="preserve">s d’analyse extra financière </w:t>
      </w:r>
      <w:r>
        <w:t>proviennent directement</w:t>
      </w:r>
      <w:r w:rsidR="00A05AD3">
        <w:t> :</w:t>
      </w:r>
    </w:p>
    <w:p w14:paraId="16DDF735" w14:textId="494A5344" w:rsidR="0022588A" w:rsidRDefault="0022588A" w:rsidP="00563B97">
      <w:pPr>
        <w:pStyle w:val="Paragraphedeliste"/>
        <w:numPr>
          <w:ilvl w:val="0"/>
          <w:numId w:val="15"/>
        </w:numPr>
      </w:pPr>
      <w:r>
        <w:t xml:space="preserve">De notre prestataire MSCI </w:t>
      </w:r>
      <w:r w:rsidR="00563B97">
        <w:t xml:space="preserve">pour </w:t>
      </w:r>
      <w:r w:rsidR="009D05CB">
        <w:t>la notation</w:t>
      </w:r>
      <w:r w:rsidR="00563B97">
        <w:t xml:space="preserve"> et </w:t>
      </w:r>
      <w:r>
        <w:t xml:space="preserve">pour </w:t>
      </w:r>
      <w:r w:rsidR="008908DE">
        <w:t>les controverses</w:t>
      </w:r>
    </w:p>
    <w:p w14:paraId="54199F3A" w14:textId="37F71C19" w:rsidR="00A05AD3" w:rsidRDefault="00A05AD3" w:rsidP="00A05AD3">
      <w:pPr>
        <w:pStyle w:val="Paragraphedeliste"/>
        <w:numPr>
          <w:ilvl w:val="0"/>
          <w:numId w:val="15"/>
        </w:numPr>
      </w:pPr>
      <w:r>
        <w:t>D</w:t>
      </w:r>
      <w:r w:rsidR="005A0455">
        <w:t>e notre notation discrétionnaire</w:t>
      </w:r>
      <w:r w:rsidR="0022588A">
        <w:t xml:space="preserve"> qui est entièrement réalisée par nos équipes.</w:t>
      </w:r>
    </w:p>
    <w:p w14:paraId="147CC551" w14:textId="77777777" w:rsidR="005A0455" w:rsidRDefault="005A0455" w:rsidP="001272A7"/>
    <w:p w14:paraId="1CEF5359" w14:textId="77777777" w:rsidR="0059694B" w:rsidRPr="0059694B" w:rsidRDefault="0059694B" w:rsidP="001272A7">
      <w:pPr>
        <w:rPr>
          <w:b/>
          <w:bCs/>
        </w:rPr>
      </w:pPr>
      <w:r w:rsidRPr="0059694B">
        <w:rPr>
          <w:b/>
          <w:bCs/>
        </w:rPr>
        <w:t>Les modalités de traitement des données</w:t>
      </w:r>
    </w:p>
    <w:p w14:paraId="28037168" w14:textId="24E1E7EF" w:rsidR="0059694B" w:rsidRDefault="00A05AD3" w:rsidP="001272A7">
      <w:r>
        <w:t xml:space="preserve">Les données sont rassemblées et traitées dans un modèle Excel propriétaire qui est mis à jour </w:t>
      </w:r>
      <w:r w:rsidR="00563B97">
        <w:t xml:space="preserve">deux fois par an. </w:t>
      </w:r>
    </w:p>
    <w:p w14:paraId="43A2F568" w14:textId="77777777" w:rsidR="00DF54F4" w:rsidRDefault="00DF54F4" w:rsidP="001272A7"/>
    <w:p w14:paraId="114DF4BD" w14:textId="375C6D3B" w:rsidR="004D1879" w:rsidRPr="0059694B" w:rsidRDefault="0059694B" w:rsidP="001272A7">
      <w:pPr>
        <w:rPr>
          <w:b/>
          <w:bCs/>
        </w:rPr>
      </w:pPr>
      <w:r w:rsidRPr="0059694B">
        <w:rPr>
          <w:b/>
          <w:bCs/>
        </w:rPr>
        <w:t xml:space="preserve">La proportion des données qui sont estimées </w:t>
      </w:r>
    </w:p>
    <w:p w14:paraId="10287140" w14:textId="14492AC3" w:rsidR="00DA5D8C" w:rsidRPr="00A05AD3" w:rsidRDefault="00A05AD3" w:rsidP="001272A7">
      <w:r w:rsidRPr="00A05AD3">
        <w:t>Amplegest</w:t>
      </w:r>
      <w:r>
        <w:t xml:space="preserve"> n’estime aucune donnée. Les sociétés nouvelles rentrant dans l’univers d’investissement à l’occasion d’une introduction en bourse ou d’un changement d’indice sont d’abord </w:t>
      </w:r>
      <w:proofErr w:type="gramStart"/>
      <w:r>
        <w:t>notées</w:t>
      </w:r>
      <w:proofErr w:type="gramEnd"/>
      <w:r>
        <w:t xml:space="preserve"> à la moyenne de l’univers d’investissement avant d’être intégrées et notées </w:t>
      </w:r>
      <w:r w:rsidR="009D05CB">
        <w:t>par MSCI</w:t>
      </w:r>
      <w:r>
        <w:t xml:space="preserve">. La part des sociétés non analysées ne peut dépasser </w:t>
      </w:r>
      <w:r w:rsidR="009D05CB">
        <w:t>4</w:t>
      </w:r>
      <w:r>
        <w:t>0% dans un fonds.</w:t>
      </w:r>
    </w:p>
    <w:bookmarkEnd w:id="16"/>
    <w:p w14:paraId="37F573EE" w14:textId="77777777" w:rsidR="0059694B" w:rsidRDefault="0059694B" w:rsidP="001272A7"/>
    <w:p w14:paraId="444FECA5" w14:textId="1A4738F2" w:rsidR="001272A7" w:rsidRDefault="0010043C" w:rsidP="0010043C">
      <w:pPr>
        <w:pStyle w:val="Titre1"/>
        <w:rPr>
          <w:rFonts w:ascii="Century Gothic" w:hAnsi="Century Gothic"/>
        </w:rPr>
      </w:pPr>
      <w:bookmarkStart w:id="18" w:name="_Toc161160499"/>
      <w:r w:rsidRPr="0010043C">
        <w:rPr>
          <w:rFonts w:ascii="Century Gothic" w:hAnsi="Century Gothic"/>
        </w:rPr>
        <w:t>Limites aux méthodes et aux données</w:t>
      </w:r>
      <w:bookmarkEnd w:id="18"/>
    </w:p>
    <w:p w14:paraId="7A39D8FD" w14:textId="5E3507C2" w:rsidR="00ED27C6" w:rsidRPr="00ED27C6" w:rsidRDefault="00ED27C6" w:rsidP="00ED27C6">
      <w:r w:rsidRPr="00ED27C6">
        <w:t>Les équipes d’Amplegest ont conscience que l’approche retenue pour construire leur analyse ESG présente plusieurs limites :</w:t>
      </w:r>
    </w:p>
    <w:p w14:paraId="20B97F9B" w14:textId="01C2AB2D" w:rsidR="00ED27C6" w:rsidRPr="003F1461" w:rsidRDefault="00ED27C6" w:rsidP="009D05CB">
      <w:pPr>
        <w:pStyle w:val="Paragraphedeliste"/>
        <w:numPr>
          <w:ilvl w:val="1"/>
          <w:numId w:val="17"/>
        </w:numPr>
      </w:pPr>
      <w:r w:rsidRPr="00ED27C6">
        <w:t>La disponibilité et la qualité des données ESG fournies par les sociétés analysées et utilisées par</w:t>
      </w:r>
      <w:r>
        <w:t xml:space="preserve"> </w:t>
      </w:r>
      <w:r w:rsidRPr="00ED27C6">
        <w:t>Amplegest. En pratique, certaines données ne sont actuellement</w:t>
      </w:r>
      <w:r>
        <w:t xml:space="preserve"> </w:t>
      </w:r>
      <w:r w:rsidRPr="00ED27C6">
        <w:t>pas ou peu disponibles (alignement 2°, taxonomie, ODD, biodiversité…) et nécessitent parfois un</w:t>
      </w:r>
      <w:r>
        <w:t xml:space="preserve"> </w:t>
      </w:r>
      <w:r w:rsidRPr="00ED27C6">
        <w:t>important travail d’approximation pour parvenir à des estimations.</w:t>
      </w:r>
    </w:p>
    <w:p w14:paraId="0A317C95" w14:textId="375A30FA" w:rsidR="00ED27C6" w:rsidRPr="003F1461" w:rsidRDefault="00ED27C6" w:rsidP="00ED27C6">
      <w:pPr>
        <w:pStyle w:val="Paragraphedeliste"/>
        <w:numPr>
          <w:ilvl w:val="1"/>
          <w:numId w:val="17"/>
        </w:numPr>
      </w:pPr>
      <w:r w:rsidRPr="003F1461">
        <w:t>Certaines informations proviennent d’un fournisseur externe et à ce titre peuvent se révéler erronées sans qu’Amplegest ne puisse le détecter.</w:t>
      </w:r>
    </w:p>
    <w:p w14:paraId="6FE07D19" w14:textId="77777777" w:rsidR="003F1461" w:rsidRDefault="003F1461" w:rsidP="003F1461"/>
    <w:p w14:paraId="65A52457" w14:textId="22EDEC32" w:rsidR="003F1461" w:rsidRPr="003F1461" w:rsidRDefault="003F1461" w:rsidP="0059254B">
      <w:r w:rsidRPr="005569A4">
        <w:t>Ces limites n’influent pas sur la mesure dans laquelle les caractéristiques environnementales ou sociales promues sont atteintes car une combinaison d’approche est mise en place : le recours à différent fournisseurs de données, une évaluation qualitative structurée par l’équipe ESG et la mise en place de plusieurs comités ESG.</w:t>
      </w:r>
      <w:r>
        <w:t xml:space="preserve">  </w:t>
      </w:r>
    </w:p>
    <w:p w14:paraId="6DF5034B" w14:textId="77777777" w:rsidR="0010043C" w:rsidRDefault="0010043C" w:rsidP="0010043C">
      <w:pPr>
        <w:rPr>
          <w:rFonts w:ascii="Century Gothic" w:eastAsiaTheme="minorEastAsia" w:hAnsi="Century Gothic"/>
          <w:b/>
          <w:color w:val="FFFFFF" w:themeColor="background1"/>
          <w:spacing w:val="15"/>
          <w:szCs w:val="22"/>
        </w:rPr>
      </w:pPr>
    </w:p>
    <w:p w14:paraId="5874E71E" w14:textId="751EA295" w:rsidR="0010043C" w:rsidRDefault="0010043C" w:rsidP="0010043C">
      <w:pPr>
        <w:pStyle w:val="Titre1"/>
        <w:rPr>
          <w:rFonts w:ascii="Century Gothic" w:hAnsi="Century Gothic"/>
        </w:rPr>
      </w:pPr>
      <w:bookmarkStart w:id="19" w:name="_Toc161160500"/>
      <w:r w:rsidRPr="0010043C">
        <w:rPr>
          <w:rFonts w:ascii="Century Gothic" w:hAnsi="Century Gothic"/>
        </w:rPr>
        <w:t>Diligence raisonnable</w:t>
      </w:r>
      <w:bookmarkEnd w:id="19"/>
    </w:p>
    <w:p w14:paraId="56E15093" w14:textId="77777777" w:rsidR="005021F2" w:rsidRDefault="005021F2" w:rsidP="005021F2">
      <w:bookmarkStart w:id="20" w:name="_Hlk140568243"/>
      <w:r>
        <w:t>Afin de suivre ces contraintes, un outil de contrôle a été développé en interne et paramétré par le contrôle des risques. En cas de non-respect d’une règle sur le portefeuille, une procédure d’escalade est engagée afin de régulariser le dépassement.</w:t>
      </w:r>
    </w:p>
    <w:bookmarkEnd w:id="20"/>
    <w:p w14:paraId="4174B9A8" w14:textId="77777777" w:rsidR="005021F2" w:rsidRDefault="005021F2" w:rsidP="005021F2"/>
    <w:p w14:paraId="3603465C" w14:textId="77777777" w:rsidR="005021F2" w:rsidRDefault="005021F2" w:rsidP="005021F2">
      <w:r>
        <w:t>Déroulement du processus :</w:t>
      </w:r>
    </w:p>
    <w:p w14:paraId="36AF1994" w14:textId="77777777" w:rsidR="005021F2" w:rsidRDefault="005021F2" w:rsidP="005021F2">
      <w:pPr>
        <w:pStyle w:val="Paragraphedeliste"/>
        <w:numPr>
          <w:ilvl w:val="0"/>
          <w:numId w:val="10"/>
        </w:numPr>
      </w:pPr>
      <w:r>
        <w:lastRenderedPageBreak/>
        <w:t>Dès lors qu’une valeur est mise à jour dans la base de données par l’équipe ESG, le contrôle des risques intègre la modification à l’outil de contrôle,</w:t>
      </w:r>
    </w:p>
    <w:p w14:paraId="76751AA7" w14:textId="77777777" w:rsidR="005021F2" w:rsidRDefault="005021F2" w:rsidP="005021F2">
      <w:pPr>
        <w:pStyle w:val="Paragraphedeliste"/>
        <w:numPr>
          <w:ilvl w:val="0"/>
          <w:numId w:val="11"/>
        </w:numPr>
      </w:pPr>
      <w:r>
        <w:t>La liste d’exclusion est mise à jour semestriellement et validée lors du comité Exclusion,</w:t>
      </w:r>
    </w:p>
    <w:p w14:paraId="058C7B59" w14:textId="77777777" w:rsidR="005021F2" w:rsidRDefault="005021F2" w:rsidP="005021F2">
      <w:pPr>
        <w:pStyle w:val="Paragraphedeliste"/>
        <w:numPr>
          <w:ilvl w:val="0"/>
          <w:numId w:val="11"/>
        </w:numPr>
      </w:pPr>
      <w:r>
        <w:t xml:space="preserve">Par « batch » quotidien, l’outil s’assure du respect des </w:t>
      </w:r>
      <w:r w:rsidRPr="00097566">
        <w:t>quatre règles définies dans le processus d’investissement :</w:t>
      </w:r>
    </w:p>
    <w:p w14:paraId="7964B06A" w14:textId="77777777" w:rsidR="005021F2" w:rsidRDefault="005021F2" w:rsidP="005021F2">
      <w:pPr>
        <w:pStyle w:val="Paragraphedeliste"/>
        <w:numPr>
          <w:ilvl w:val="1"/>
          <w:numId w:val="11"/>
        </w:numPr>
      </w:pPr>
      <w:r>
        <w:t>Pour les fonds suivant l’intégration ESG :</w:t>
      </w:r>
    </w:p>
    <w:p w14:paraId="26D0BD5C" w14:textId="77777777" w:rsidR="005021F2" w:rsidRDefault="005021F2" w:rsidP="005021F2">
      <w:pPr>
        <w:pStyle w:val="Paragraphedeliste"/>
        <w:numPr>
          <w:ilvl w:val="2"/>
          <w:numId w:val="12"/>
        </w:numPr>
      </w:pPr>
      <w:r>
        <w:t>Respect des règles d’exclusions sectorielles et normatives,</w:t>
      </w:r>
    </w:p>
    <w:p w14:paraId="30FD26CC" w14:textId="77777777" w:rsidR="005021F2" w:rsidRDefault="005021F2" w:rsidP="005021F2">
      <w:pPr>
        <w:pStyle w:val="Paragraphedeliste"/>
        <w:numPr>
          <w:ilvl w:val="1"/>
          <w:numId w:val="12"/>
        </w:numPr>
      </w:pPr>
      <w:r>
        <w:t>Pour les fonds suivant l’intégration ESG et ISR :</w:t>
      </w:r>
    </w:p>
    <w:p w14:paraId="7AC638AC" w14:textId="77777777" w:rsidR="005021F2" w:rsidRDefault="005021F2" w:rsidP="005021F2">
      <w:pPr>
        <w:pStyle w:val="Paragraphedeliste"/>
        <w:numPr>
          <w:ilvl w:val="2"/>
          <w:numId w:val="31"/>
        </w:numPr>
      </w:pPr>
      <w:r>
        <w:t>Respect des règles d’exclusions sectorielles et normatives,</w:t>
      </w:r>
    </w:p>
    <w:p w14:paraId="21791326" w14:textId="29ABC1B9" w:rsidR="005021F2" w:rsidRDefault="005021F2" w:rsidP="005021F2">
      <w:pPr>
        <w:pStyle w:val="Paragraphedeliste"/>
        <w:numPr>
          <w:ilvl w:val="2"/>
          <w:numId w:val="31"/>
        </w:numPr>
      </w:pPr>
      <w:r>
        <w:t xml:space="preserve">Respect du ratio accessoire </w:t>
      </w:r>
      <w:r w:rsidR="006A56ED">
        <w:t>4</w:t>
      </w:r>
      <w:r>
        <w:t>0% (</w:t>
      </w:r>
      <w:r w:rsidR="006A56ED">
        <w:t>6</w:t>
      </w:r>
      <w:r>
        <w:t>0% minimum des valeurs sont suivies et notées par l’équipe ESG),</w:t>
      </w:r>
    </w:p>
    <w:p w14:paraId="3CE06B9A" w14:textId="5C490C91" w:rsidR="005021F2" w:rsidRDefault="005021F2" w:rsidP="005021F2">
      <w:pPr>
        <w:pStyle w:val="Paragraphedeliste"/>
        <w:numPr>
          <w:ilvl w:val="2"/>
          <w:numId w:val="31"/>
        </w:numPr>
      </w:pPr>
      <w:r>
        <w:t xml:space="preserve">Respect du ratio permanent </w:t>
      </w:r>
      <w:r w:rsidR="006A56ED">
        <w:t>8</w:t>
      </w:r>
      <w:r>
        <w:t>0/</w:t>
      </w:r>
      <w:r w:rsidR="006A56ED">
        <w:t>2</w:t>
      </w:r>
      <w:r>
        <w:t xml:space="preserve">0 </w:t>
      </w:r>
      <w:bookmarkStart w:id="21" w:name="_Hlk140568112"/>
      <w:r>
        <w:t>(</w:t>
      </w:r>
      <w:bookmarkStart w:id="22" w:name="_Hlk140565565"/>
      <w:r w:rsidR="00934BBE">
        <w:t>Nous excluons</w:t>
      </w:r>
      <w:r>
        <w:t xml:space="preserve"> de </w:t>
      </w:r>
      <w:r w:rsidR="006A56ED">
        <w:t>2</w:t>
      </w:r>
      <w:r>
        <w:t>0% de l’univers d’investissement</w:t>
      </w:r>
      <w:r w:rsidR="00934BBE">
        <w:t xml:space="preserve"> afin de suivre l’approche en sélectivité en utilisant le</w:t>
      </w:r>
      <w:bookmarkEnd w:id="22"/>
      <w:r w:rsidR="006A56ED">
        <w:t>s données de MSCI</w:t>
      </w:r>
      <w:r w:rsidR="00934BBE">
        <w:t>.</w:t>
      </w:r>
      <w:r>
        <w:t>)</w:t>
      </w:r>
      <w:bookmarkEnd w:id="21"/>
    </w:p>
    <w:p w14:paraId="088CC1C6" w14:textId="77777777" w:rsidR="005021F2" w:rsidRDefault="005021F2" w:rsidP="005021F2"/>
    <w:p w14:paraId="1AF27FB4" w14:textId="77777777" w:rsidR="005021F2" w:rsidRDefault="005021F2" w:rsidP="005021F2">
      <w:r>
        <w:t>En cas d’anomalie, le contrôle des risques reçoit l’alerte par l’outil et informe la gestion afin de régulariser la situation.</w:t>
      </w:r>
    </w:p>
    <w:p w14:paraId="6419EDC3" w14:textId="77777777" w:rsidR="005021F2" w:rsidRDefault="005021F2" w:rsidP="005021F2"/>
    <w:p w14:paraId="51C335B8" w14:textId="77777777" w:rsidR="005021F2" w:rsidRDefault="005021F2" w:rsidP="005021F2">
      <w:r>
        <w:t>Un audit annuel est mené par le contrôle des risques sur la méthodologie de notation et la cartographie des risques est mise à jour avec l’identification des risques associés à l’ESG. Une formation est notamment délivrée en interne par la chargée de conformité et le contrôleur des risques pour sensibiliser les collaborateurs aux risques ESG.</w:t>
      </w:r>
    </w:p>
    <w:p w14:paraId="48F0B28E" w14:textId="77777777" w:rsidR="005021F2" w:rsidRDefault="005021F2" w:rsidP="005021F2"/>
    <w:p w14:paraId="54FEBBD7" w14:textId="77777777" w:rsidR="005021F2" w:rsidRDefault="005021F2" w:rsidP="005021F2">
      <w:r>
        <w:t>• Contrôle de 1er niveau</w:t>
      </w:r>
    </w:p>
    <w:p w14:paraId="4B79012B" w14:textId="77777777" w:rsidR="005021F2" w:rsidRDefault="005021F2" w:rsidP="005021F2">
      <w:r>
        <w:t xml:space="preserve">Les gérants ont un accès en temps réel à la composition du portefeuille et aux notes ESG pour chacune des valeurs, leur permettant de contrôler et de s’assurer du respect des contraintes d’investissement en </w:t>
      </w:r>
      <w:proofErr w:type="spellStart"/>
      <w:r>
        <w:t>pre-trade</w:t>
      </w:r>
      <w:proofErr w:type="spellEnd"/>
      <w:r>
        <w:t>.</w:t>
      </w:r>
    </w:p>
    <w:p w14:paraId="7C2EB532" w14:textId="77777777" w:rsidR="005021F2" w:rsidRDefault="005021F2" w:rsidP="005021F2"/>
    <w:p w14:paraId="26EA328E" w14:textId="77777777" w:rsidR="005021F2" w:rsidRDefault="005021F2" w:rsidP="005021F2">
      <w:r>
        <w:t>• Contrôle de risques</w:t>
      </w:r>
    </w:p>
    <w:p w14:paraId="01A240F0" w14:textId="77777777" w:rsidR="005021F2" w:rsidRDefault="005021F2" w:rsidP="005021F2">
      <w:r>
        <w:t>Le contrôle des risques reçoit une alerte de l’outil en post-</w:t>
      </w:r>
      <w:proofErr w:type="spellStart"/>
      <w:r>
        <w:t>trade</w:t>
      </w:r>
      <w:proofErr w:type="spellEnd"/>
      <w:r>
        <w:t xml:space="preserve"> si une des règles n’est pas respectée en amont, et informe le gérant afin de régulariser le dépassement.</w:t>
      </w:r>
    </w:p>
    <w:p w14:paraId="48A1F860" w14:textId="77777777" w:rsidR="005021F2" w:rsidRDefault="005021F2" w:rsidP="005021F2">
      <w:r>
        <w:t>Le contrôle des risques mène un audit annuel afin de s’assurer que la méthodologie de notation ESG entreprise correspond bien à celle décrite par le comité Opérationnel ESG.</w:t>
      </w:r>
    </w:p>
    <w:p w14:paraId="08C255C5" w14:textId="77777777" w:rsidR="005021F2" w:rsidRDefault="005021F2" w:rsidP="005021F2"/>
    <w:p w14:paraId="22610BCF" w14:textId="77777777" w:rsidR="005021F2" w:rsidRDefault="005021F2" w:rsidP="005021F2">
      <w:r>
        <w:t>• Contrôle de 2nd niveau</w:t>
      </w:r>
    </w:p>
    <w:p w14:paraId="000EC23E" w14:textId="77777777" w:rsidR="005021F2" w:rsidRDefault="005021F2" w:rsidP="005021F2">
      <w:r>
        <w:t>Le département de conformité et de contrôle interne veille au respect des règles ESG définies dans le cadre du processus d’investissement afin de s’assurer de la conformité des OPC labélisés.</w:t>
      </w:r>
    </w:p>
    <w:p w14:paraId="513E8749" w14:textId="77777777" w:rsidR="005021F2" w:rsidRDefault="005021F2" w:rsidP="005021F2"/>
    <w:p w14:paraId="66D8CF4A" w14:textId="77777777" w:rsidR="005021F2" w:rsidRDefault="005021F2" w:rsidP="005021F2">
      <w:r>
        <w:t>Les contrôles réalisés par l’équipe de conformité et de contrôle interne portent notamment sur les points suivants :</w:t>
      </w:r>
    </w:p>
    <w:p w14:paraId="26953435" w14:textId="77777777" w:rsidR="005021F2" w:rsidRDefault="005021F2" w:rsidP="005021F2">
      <w:pPr>
        <w:pStyle w:val="Paragraphedeliste"/>
        <w:numPr>
          <w:ilvl w:val="0"/>
          <w:numId w:val="11"/>
        </w:numPr>
      </w:pPr>
      <w:r>
        <w:t>Le respect du processus ESG d’investissement (contrôle de l’éligibilité des valeurs, l’existence d’une notation ESG…)</w:t>
      </w:r>
    </w:p>
    <w:p w14:paraId="4500A56D" w14:textId="77777777" w:rsidR="005021F2" w:rsidRDefault="005021F2" w:rsidP="005021F2">
      <w:pPr>
        <w:pStyle w:val="Paragraphedeliste"/>
        <w:numPr>
          <w:ilvl w:val="0"/>
          <w:numId w:val="11"/>
        </w:numPr>
      </w:pPr>
      <w:r>
        <w:t>Le respect des critères d’exclusions</w:t>
      </w:r>
    </w:p>
    <w:p w14:paraId="44D72E13" w14:textId="77777777" w:rsidR="005021F2" w:rsidRDefault="005021F2" w:rsidP="005021F2">
      <w:pPr>
        <w:pStyle w:val="Paragraphedeliste"/>
        <w:numPr>
          <w:ilvl w:val="0"/>
          <w:numId w:val="11"/>
        </w:numPr>
      </w:pPr>
      <w:r>
        <w:lastRenderedPageBreak/>
        <w:t>L’application de la politique de vote</w:t>
      </w:r>
    </w:p>
    <w:p w14:paraId="0E0F62D3" w14:textId="77777777" w:rsidR="005021F2" w:rsidRDefault="005021F2" w:rsidP="005021F2">
      <w:pPr>
        <w:pStyle w:val="Paragraphedeliste"/>
        <w:numPr>
          <w:ilvl w:val="0"/>
          <w:numId w:val="11"/>
        </w:numPr>
      </w:pPr>
      <w:r>
        <w:t>La conformité de l’information délivrée aux investisseurs</w:t>
      </w:r>
    </w:p>
    <w:p w14:paraId="4B76F7D8" w14:textId="77777777" w:rsidR="0010043C" w:rsidRDefault="0010043C" w:rsidP="0010043C">
      <w:pPr>
        <w:rPr>
          <w:rFonts w:ascii="Century Gothic" w:eastAsiaTheme="minorEastAsia" w:hAnsi="Century Gothic"/>
          <w:b/>
          <w:color w:val="FFFFFF" w:themeColor="background1"/>
          <w:spacing w:val="15"/>
          <w:szCs w:val="22"/>
        </w:rPr>
      </w:pPr>
    </w:p>
    <w:p w14:paraId="10E914BC" w14:textId="609D01B7" w:rsidR="0010043C" w:rsidRDefault="0010043C" w:rsidP="0010043C">
      <w:pPr>
        <w:pStyle w:val="Titre1"/>
        <w:rPr>
          <w:rFonts w:ascii="Century Gothic" w:hAnsi="Century Gothic"/>
        </w:rPr>
      </w:pPr>
      <w:bookmarkStart w:id="23" w:name="_Toc161160501"/>
      <w:r w:rsidRPr="0010043C">
        <w:rPr>
          <w:rFonts w:ascii="Century Gothic" w:hAnsi="Century Gothic"/>
        </w:rPr>
        <w:t>Politiques d’engagement</w:t>
      </w:r>
      <w:bookmarkEnd w:id="23"/>
    </w:p>
    <w:p w14:paraId="409C9C0A" w14:textId="77777777" w:rsidR="00AB134A" w:rsidRPr="005569A4" w:rsidRDefault="00AB134A" w:rsidP="0010043C">
      <w:r w:rsidRPr="005569A4">
        <w:t xml:space="preserve">Amplegest a choisi d’exercer pleinement et de manière indépendante ses prérogatives d’actionnaire dans une démarche de progrès en cohérence avec ses valeurs. </w:t>
      </w:r>
    </w:p>
    <w:p w14:paraId="1C8ABA0E" w14:textId="77777777" w:rsidR="00AB134A" w:rsidRPr="005569A4" w:rsidRDefault="00AB134A" w:rsidP="0010043C"/>
    <w:p w14:paraId="5731B147" w14:textId="0E176DA1" w:rsidR="00AB134A" w:rsidRPr="005569A4" w:rsidRDefault="00AB134A" w:rsidP="0010043C">
      <w:r w:rsidRPr="005569A4">
        <w:t xml:space="preserve">Depuis le 1er janvier 2020, les équipes de gestion Actions votent sur l’ensemble des titres détenus en portefeuille. L’équipe de gestion Actions </w:t>
      </w:r>
      <w:proofErr w:type="gramStart"/>
      <w:r w:rsidRPr="005569A4">
        <w:t>est en charge</w:t>
      </w:r>
      <w:proofErr w:type="gramEnd"/>
      <w:r w:rsidRPr="005569A4">
        <w:t xml:space="preserve"> d’instruire et d’analyser les résolutions présentées par les dirigeants des entreprises cotées dans lesquelles les OPCVM de la gestion Actions sont investis. Elle fait appel aux services de </w:t>
      </w:r>
      <w:proofErr w:type="spellStart"/>
      <w:r w:rsidRPr="005569A4">
        <w:t>Proxinvest</w:t>
      </w:r>
      <w:proofErr w:type="spellEnd"/>
      <w:r w:rsidR="0017719F">
        <w:t xml:space="preserve"> Glass Lewis</w:t>
      </w:r>
      <w:r w:rsidRPr="005569A4">
        <w:t xml:space="preserve"> en ce qui concerne la politique de vote aux assemblées générales des sociétés dans lesquelles elles sont investies. </w:t>
      </w:r>
    </w:p>
    <w:p w14:paraId="5E5E92A2" w14:textId="77777777" w:rsidR="00AB134A" w:rsidRPr="005569A4" w:rsidRDefault="00AB134A" w:rsidP="0010043C"/>
    <w:p w14:paraId="5C144303" w14:textId="4AF3893B" w:rsidR="00AB134A" w:rsidRPr="005569A4" w:rsidRDefault="00AB134A" w:rsidP="0010043C">
      <w:r w:rsidRPr="005569A4">
        <w:t xml:space="preserve">En 2020, l'équipe ESG </w:t>
      </w:r>
      <w:r w:rsidR="00934BBE">
        <w:t xml:space="preserve">a </w:t>
      </w:r>
      <w:r w:rsidRPr="005569A4">
        <w:t>renforc</w:t>
      </w:r>
      <w:r w:rsidR="00934BBE">
        <w:t>é</w:t>
      </w:r>
      <w:r w:rsidRPr="005569A4">
        <w:t xml:space="preserve"> son partenariat avec </w:t>
      </w:r>
      <w:proofErr w:type="spellStart"/>
      <w:r w:rsidRPr="005569A4">
        <w:t>Proxinvest</w:t>
      </w:r>
      <w:proofErr w:type="spellEnd"/>
      <w:r w:rsidR="0017719F">
        <w:t xml:space="preserve"> Glass Lewis</w:t>
      </w:r>
      <w:r w:rsidRPr="005569A4">
        <w:t xml:space="preserve"> en faisant intervenir deux nouvelles actions : </w:t>
      </w:r>
    </w:p>
    <w:p w14:paraId="49043B2E" w14:textId="08BB3483" w:rsidR="00AB134A" w:rsidRPr="005569A4" w:rsidRDefault="00AB134A" w:rsidP="00AB134A">
      <w:pPr>
        <w:pStyle w:val="Paragraphedeliste"/>
        <w:numPr>
          <w:ilvl w:val="0"/>
          <w:numId w:val="17"/>
        </w:numPr>
      </w:pPr>
      <w:r w:rsidRPr="005569A4">
        <w:t xml:space="preserve">Une action individuelle par l’envoi de lettres d'engagement personnalisées aux entreprises investissables et pour lesquelles des efforts de transparence dans le domaine E, S et G sont attendus. </w:t>
      </w:r>
    </w:p>
    <w:p w14:paraId="3F029885" w14:textId="1D85B41F" w:rsidR="00AB134A" w:rsidRPr="005569A4" w:rsidRDefault="00AB134A" w:rsidP="00AB134A">
      <w:pPr>
        <w:pStyle w:val="Paragraphedeliste"/>
        <w:numPr>
          <w:ilvl w:val="0"/>
          <w:numId w:val="17"/>
        </w:numPr>
      </w:pPr>
      <w:r w:rsidRPr="005569A4">
        <w:t>Une action collective en s’engageant auprès d’autres émetteurs dans le cadre d’actions de groupe à destination des entreprises.</w:t>
      </w:r>
    </w:p>
    <w:p w14:paraId="2E60AF2C" w14:textId="77777777" w:rsidR="00AB134A" w:rsidRDefault="00AB134A" w:rsidP="0010043C"/>
    <w:p w14:paraId="74CC60B0" w14:textId="10B9B287" w:rsidR="0010043C" w:rsidRDefault="00FD72F7" w:rsidP="0010043C">
      <w:r>
        <w:t xml:space="preserve">Les politiques d’engagement actionnarial et de votes sont disponibles sur notre site Internet dans la partie Investissement Responsable : </w:t>
      </w:r>
      <w:hyperlink r:id="rId8" w:history="1">
        <w:r w:rsidRPr="00DE6889">
          <w:rPr>
            <w:rStyle w:val="Lienhypertexte"/>
          </w:rPr>
          <w:t>https://www.amplegest.com/fr-FR/investissement-responsable</w:t>
        </w:r>
      </w:hyperlink>
    </w:p>
    <w:p w14:paraId="3FA62BAC" w14:textId="77777777" w:rsidR="00AB134A" w:rsidRDefault="00AB134A" w:rsidP="00AB134A">
      <w:pPr>
        <w:rPr>
          <w:rFonts w:ascii="Century Gothic" w:eastAsiaTheme="minorEastAsia" w:hAnsi="Century Gothic"/>
          <w:b/>
          <w:color w:val="FFFFFF" w:themeColor="background1"/>
          <w:spacing w:val="15"/>
          <w:szCs w:val="22"/>
        </w:rPr>
      </w:pPr>
    </w:p>
    <w:p w14:paraId="7FD7DD07" w14:textId="6FB10CFA" w:rsidR="00AB134A" w:rsidRDefault="00AB134A" w:rsidP="00AB134A">
      <w:pPr>
        <w:pStyle w:val="Titre1"/>
        <w:rPr>
          <w:rFonts w:ascii="Century Gothic" w:hAnsi="Century Gothic"/>
        </w:rPr>
      </w:pPr>
      <w:bookmarkStart w:id="24" w:name="_Toc161160502"/>
      <w:r>
        <w:rPr>
          <w:rFonts w:ascii="Century Gothic" w:hAnsi="Century Gothic"/>
        </w:rPr>
        <w:t>Indice de référence désigné</w:t>
      </w:r>
      <w:bookmarkEnd w:id="24"/>
    </w:p>
    <w:p w14:paraId="482BFB15" w14:textId="1DDA3778" w:rsidR="00AB134A" w:rsidRPr="00AB134A" w:rsidRDefault="00AB134A" w:rsidP="00AB134A">
      <w:r w:rsidRPr="005569A4">
        <w:t>Aucun indice spécifique n’a été désigné comme indice de référence pour déterminer si les produits financiers sont alignés sur les caractéristiques environnementales et/ou sociales qu’ils promeuvent.</w:t>
      </w:r>
      <w:r>
        <w:t xml:space="preserve"> </w:t>
      </w:r>
    </w:p>
    <w:sectPr w:rsidR="00AB134A" w:rsidRPr="00AB134A" w:rsidSect="000E407C">
      <w:headerReference w:type="default" r:id="rId9"/>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19ED8" w14:textId="77777777" w:rsidR="00E705D9" w:rsidRDefault="00E705D9" w:rsidP="000E407C">
      <w:r>
        <w:separator/>
      </w:r>
    </w:p>
  </w:endnote>
  <w:endnote w:type="continuationSeparator" w:id="0">
    <w:p w14:paraId="5ECC9401" w14:textId="77777777" w:rsidR="00E705D9" w:rsidRDefault="00E705D9" w:rsidP="000E4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Klavika Lt">
    <w:altName w:val="Times New Roman"/>
    <w:panose1 w:val="00000000000000000000"/>
    <w:charset w:val="00"/>
    <w:family w:val="modern"/>
    <w:notTrueType/>
    <w:pitch w:val="variable"/>
    <w:sig w:usb0="A00000A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0482" w:type="dxa"/>
      <w:jc w:val="center"/>
      <w:tblBorders>
        <w:top w:val="none" w:sz="0" w:space="0" w:color="auto"/>
        <w:left w:val="none" w:sz="0" w:space="0" w:color="auto"/>
        <w:bottom w:val="none" w:sz="0" w:space="0" w:color="auto"/>
        <w:right w:val="none" w:sz="0" w:space="0" w:color="auto"/>
        <w:insideV w:val="single" w:sz="4" w:space="0" w:color="0070B1"/>
      </w:tblBorders>
      <w:tblLook w:val="04A0" w:firstRow="1" w:lastRow="0" w:firstColumn="1" w:lastColumn="0" w:noHBand="0" w:noVBand="1"/>
    </w:tblPr>
    <w:tblGrid>
      <w:gridCol w:w="10482"/>
    </w:tblGrid>
    <w:tr w:rsidR="000E407C" w:rsidRPr="00090EFC" w14:paraId="7DC66E6C" w14:textId="77777777" w:rsidTr="000E407C">
      <w:trPr>
        <w:jc w:val="center"/>
      </w:trPr>
      <w:tc>
        <w:tcPr>
          <w:tcW w:w="10482" w:type="dxa"/>
        </w:tcPr>
        <w:p w14:paraId="291E1C69" w14:textId="77777777" w:rsidR="000E407C" w:rsidRPr="00014096" w:rsidRDefault="000E407C" w:rsidP="000E407C">
          <w:pPr>
            <w:rPr>
              <w:rFonts w:ascii="Century Gothic" w:hAnsi="Century Gothic"/>
            </w:rPr>
          </w:pPr>
        </w:p>
        <w:tbl>
          <w:tblPr>
            <w:tblStyle w:val="Grilledutableau"/>
            <w:tblW w:w="10266" w:type="dxa"/>
            <w:tblBorders>
              <w:top w:val="none" w:sz="0" w:space="0" w:color="auto"/>
              <w:left w:val="none" w:sz="0" w:space="0" w:color="auto"/>
              <w:bottom w:val="none" w:sz="0" w:space="0" w:color="auto"/>
              <w:right w:val="none" w:sz="0" w:space="0" w:color="auto"/>
              <w:insideV w:val="single" w:sz="4" w:space="0" w:color="0070B1"/>
            </w:tblBorders>
            <w:tblLook w:val="04A0" w:firstRow="1" w:lastRow="0" w:firstColumn="1" w:lastColumn="0" w:noHBand="0" w:noVBand="1"/>
          </w:tblPr>
          <w:tblGrid>
            <w:gridCol w:w="2246"/>
            <w:gridCol w:w="2245"/>
            <w:gridCol w:w="5775"/>
          </w:tblGrid>
          <w:tr w:rsidR="000E407C" w:rsidRPr="00014096" w14:paraId="6A0774AD" w14:textId="77777777" w:rsidTr="000E407C">
            <w:trPr>
              <w:trHeight w:val="913"/>
            </w:trPr>
            <w:tc>
              <w:tcPr>
                <w:tcW w:w="2246" w:type="dxa"/>
              </w:tcPr>
              <w:p w14:paraId="0334BB18" w14:textId="77777777" w:rsidR="000E407C" w:rsidRPr="00014096" w:rsidRDefault="000E407C" w:rsidP="000E407C">
                <w:pPr>
                  <w:pStyle w:val="Pieddepage"/>
                  <w:ind w:right="-857"/>
                  <w:rPr>
                    <w:rFonts w:ascii="Century Gothic" w:hAnsi="Century Gothic"/>
                    <w:color w:val="3C3C3B"/>
                    <w:sz w:val="16"/>
                    <w:szCs w:val="16"/>
                  </w:rPr>
                </w:pPr>
                <w:r w:rsidRPr="00014096">
                  <w:rPr>
                    <w:rFonts w:ascii="Century Gothic" w:hAnsi="Century Gothic"/>
                    <w:color w:val="3C3C3B"/>
                    <w:sz w:val="16"/>
                    <w:szCs w:val="16"/>
                  </w:rPr>
                  <w:t>50, boulevard Haussmann</w:t>
                </w:r>
              </w:p>
              <w:p w14:paraId="18FA3E1F" w14:textId="77777777" w:rsidR="000E407C" w:rsidRPr="00014096" w:rsidRDefault="000E407C" w:rsidP="000E407C">
                <w:pPr>
                  <w:pStyle w:val="Pieddepage"/>
                  <w:ind w:right="-857"/>
                  <w:rPr>
                    <w:rFonts w:ascii="Century Gothic" w:hAnsi="Century Gothic"/>
                    <w:color w:val="3C3C3B"/>
                    <w:sz w:val="16"/>
                    <w:szCs w:val="16"/>
                  </w:rPr>
                </w:pPr>
                <w:r w:rsidRPr="00014096">
                  <w:rPr>
                    <w:rFonts w:ascii="Century Gothic" w:hAnsi="Century Gothic"/>
                    <w:color w:val="3C3C3B"/>
                    <w:sz w:val="16"/>
                    <w:szCs w:val="16"/>
                  </w:rPr>
                  <w:t>75009 Paris</w:t>
                </w:r>
              </w:p>
            </w:tc>
            <w:tc>
              <w:tcPr>
                <w:tcW w:w="2245" w:type="dxa"/>
              </w:tcPr>
              <w:p w14:paraId="532DD9CB" w14:textId="77777777" w:rsidR="000E407C" w:rsidRPr="00014096" w:rsidRDefault="000E407C" w:rsidP="000E407C">
                <w:pPr>
                  <w:pStyle w:val="Pieddepage"/>
                  <w:ind w:right="-857"/>
                  <w:rPr>
                    <w:rFonts w:ascii="Century Gothic" w:hAnsi="Century Gothic"/>
                    <w:color w:val="3C3C3B"/>
                    <w:sz w:val="16"/>
                    <w:szCs w:val="16"/>
                  </w:rPr>
                </w:pPr>
                <w:r w:rsidRPr="00014096">
                  <w:rPr>
                    <w:rFonts w:ascii="Century Gothic" w:hAnsi="Century Gothic"/>
                    <w:color w:val="3C3C3B"/>
                    <w:sz w:val="16"/>
                    <w:szCs w:val="16"/>
                  </w:rPr>
                  <w:t>Tél. : +33 (0)1 40 67 08 40</w:t>
                </w:r>
              </w:p>
              <w:p w14:paraId="210929DF" w14:textId="77777777" w:rsidR="000E407C" w:rsidRPr="00014096" w:rsidRDefault="000E407C" w:rsidP="000E407C">
                <w:pPr>
                  <w:pStyle w:val="Pieddepage"/>
                  <w:ind w:right="-857"/>
                  <w:rPr>
                    <w:rFonts w:ascii="Century Gothic" w:hAnsi="Century Gothic"/>
                    <w:color w:val="3C3C3B"/>
                    <w:sz w:val="16"/>
                    <w:szCs w:val="16"/>
                  </w:rPr>
                </w:pPr>
                <w:r w:rsidRPr="00014096">
                  <w:rPr>
                    <w:rFonts w:ascii="Century Gothic" w:hAnsi="Century Gothic"/>
                    <w:color w:val="3C3C3B"/>
                    <w:sz w:val="16"/>
                    <w:szCs w:val="16"/>
                  </w:rPr>
                  <w:t>Fax : +33 (0)1 40 67 08 41</w:t>
                </w:r>
              </w:p>
              <w:p w14:paraId="779823C7" w14:textId="77777777" w:rsidR="000E407C" w:rsidRPr="00014096" w:rsidRDefault="000E407C" w:rsidP="000E407C">
                <w:pPr>
                  <w:pStyle w:val="Pieddepage"/>
                  <w:ind w:right="-857"/>
                  <w:rPr>
                    <w:rFonts w:ascii="Century Gothic" w:hAnsi="Century Gothic"/>
                    <w:color w:val="3C3C3B"/>
                    <w:sz w:val="16"/>
                    <w:szCs w:val="16"/>
                  </w:rPr>
                </w:pPr>
                <w:hyperlink r:id="rId1" w:history="1">
                  <w:r w:rsidRPr="00014096">
                    <w:rPr>
                      <w:rStyle w:val="Lienhypertexte"/>
                      <w:rFonts w:ascii="Century Gothic" w:hAnsi="Century Gothic"/>
                      <w:sz w:val="16"/>
                      <w:szCs w:val="16"/>
                    </w:rPr>
                    <w:t>www.amplegest.com</w:t>
                  </w:r>
                </w:hyperlink>
                <w:r w:rsidRPr="00014096">
                  <w:rPr>
                    <w:rFonts w:ascii="Century Gothic" w:hAnsi="Century Gothic"/>
                    <w:color w:val="3C3C3B"/>
                    <w:sz w:val="16"/>
                    <w:szCs w:val="16"/>
                  </w:rPr>
                  <w:t xml:space="preserve"> </w:t>
                </w:r>
              </w:p>
            </w:tc>
            <w:tc>
              <w:tcPr>
                <w:tcW w:w="5775" w:type="dxa"/>
              </w:tcPr>
              <w:p w14:paraId="22A18C58" w14:textId="77777777" w:rsidR="000E407C" w:rsidRPr="00014096" w:rsidRDefault="000E407C" w:rsidP="000E407C">
                <w:pPr>
                  <w:pStyle w:val="Pieddepage"/>
                  <w:ind w:right="-857"/>
                  <w:rPr>
                    <w:rFonts w:ascii="Century Gothic" w:hAnsi="Century Gothic"/>
                    <w:color w:val="3C3C3B"/>
                    <w:sz w:val="16"/>
                    <w:szCs w:val="16"/>
                  </w:rPr>
                </w:pPr>
                <w:r w:rsidRPr="00014096">
                  <w:rPr>
                    <w:rFonts w:ascii="Century Gothic" w:hAnsi="Century Gothic"/>
                    <w:color w:val="3C3C3B"/>
                    <w:sz w:val="16"/>
                    <w:szCs w:val="16"/>
                  </w:rPr>
                  <w:t>Agrément AMF n°GP-07000044</w:t>
                </w:r>
              </w:p>
              <w:p w14:paraId="2A91D9F9" w14:textId="77777777" w:rsidR="000E407C" w:rsidRPr="00014096" w:rsidRDefault="000E407C" w:rsidP="000E407C">
                <w:pPr>
                  <w:pStyle w:val="Pieddepage"/>
                  <w:ind w:right="-857"/>
                  <w:rPr>
                    <w:rFonts w:ascii="Century Gothic" w:hAnsi="Century Gothic"/>
                    <w:color w:val="3C3C3B"/>
                    <w:sz w:val="16"/>
                    <w:szCs w:val="16"/>
                  </w:rPr>
                </w:pPr>
                <w:r w:rsidRPr="00014096">
                  <w:rPr>
                    <w:rFonts w:ascii="Century Gothic" w:hAnsi="Century Gothic"/>
                    <w:color w:val="3C3C3B"/>
                    <w:sz w:val="16"/>
                    <w:szCs w:val="16"/>
                  </w:rPr>
                  <w:t>Numéro d’immatriculation ORIAS : 08046407</w:t>
                </w:r>
              </w:p>
              <w:p w14:paraId="3863DC4E" w14:textId="1828C64E" w:rsidR="000E407C" w:rsidRPr="00014096" w:rsidRDefault="000E407C" w:rsidP="000E407C">
                <w:pPr>
                  <w:pStyle w:val="Pieddepage"/>
                  <w:ind w:right="-857"/>
                  <w:rPr>
                    <w:rFonts w:ascii="Century Gothic" w:hAnsi="Century Gothic"/>
                    <w:color w:val="3C3C3B"/>
                    <w:sz w:val="16"/>
                    <w:szCs w:val="16"/>
                  </w:rPr>
                </w:pPr>
                <w:r w:rsidRPr="00014096">
                  <w:rPr>
                    <w:rFonts w:ascii="Century Gothic" w:hAnsi="Century Gothic"/>
                    <w:color w:val="3C3C3B"/>
                    <w:sz w:val="16"/>
                    <w:szCs w:val="16"/>
                  </w:rPr>
                  <w:t>SA</w:t>
                </w:r>
                <w:r w:rsidR="00B51EC9">
                  <w:rPr>
                    <w:rFonts w:ascii="Century Gothic" w:hAnsi="Century Gothic"/>
                    <w:color w:val="3C3C3B"/>
                    <w:sz w:val="16"/>
                    <w:szCs w:val="16"/>
                  </w:rPr>
                  <w:t>S</w:t>
                </w:r>
                <w:r w:rsidRPr="00014096">
                  <w:rPr>
                    <w:rFonts w:ascii="Century Gothic" w:hAnsi="Century Gothic"/>
                    <w:color w:val="3C3C3B"/>
                    <w:sz w:val="16"/>
                    <w:szCs w:val="16"/>
                  </w:rPr>
                  <w:t xml:space="preserve"> au capital de 1 528 300 € - RCS Paris 494624273 – Code NAF 6630Z</w:t>
                </w:r>
              </w:p>
            </w:tc>
          </w:tr>
        </w:tbl>
        <w:p w14:paraId="3B13F09B" w14:textId="77777777" w:rsidR="000E407C" w:rsidRPr="00090EFC" w:rsidRDefault="000E407C" w:rsidP="000E407C">
          <w:pPr>
            <w:pStyle w:val="Pieddepage"/>
            <w:ind w:right="-857"/>
            <w:rPr>
              <w:rFonts w:ascii="Klavika Lt" w:hAnsi="Klavika Lt"/>
              <w:color w:val="3C3C3B"/>
              <w:sz w:val="16"/>
              <w:szCs w:val="16"/>
            </w:rPr>
          </w:pPr>
        </w:p>
      </w:tc>
    </w:tr>
  </w:tbl>
  <w:p w14:paraId="382166AB" w14:textId="6C0581A6" w:rsidR="000E407C" w:rsidRPr="000E407C" w:rsidRDefault="000E407C">
    <w:pPr>
      <w:pStyle w:val="Pieddepage"/>
      <w:rPr>
        <w:sz w:val="22"/>
      </w:rPr>
    </w:pPr>
    <w:r>
      <w:tab/>
    </w:r>
    <w:r>
      <w:tab/>
    </w:r>
    <w:r w:rsidRPr="00940BB9">
      <w:rPr>
        <w:sz w:val="22"/>
      </w:rPr>
      <w:t xml:space="preserve">Page </w:t>
    </w:r>
    <w:r w:rsidRPr="00940BB9">
      <w:rPr>
        <w:b/>
        <w:bCs/>
        <w:sz w:val="22"/>
      </w:rPr>
      <w:fldChar w:fldCharType="begin"/>
    </w:r>
    <w:r w:rsidRPr="00940BB9">
      <w:rPr>
        <w:b/>
        <w:bCs/>
        <w:sz w:val="22"/>
      </w:rPr>
      <w:instrText>PAGE  \* Arabic  \* MERGEFORMAT</w:instrText>
    </w:r>
    <w:r w:rsidRPr="00940BB9">
      <w:rPr>
        <w:b/>
        <w:bCs/>
        <w:sz w:val="22"/>
      </w:rPr>
      <w:fldChar w:fldCharType="separate"/>
    </w:r>
    <w:r>
      <w:rPr>
        <w:b/>
        <w:bCs/>
        <w:sz w:val="22"/>
      </w:rPr>
      <w:t>5</w:t>
    </w:r>
    <w:r w:rsidRPr="00940BB9">
      <w:rPr>
        <w:b/>
        <w:bCs/>
        <w:sz w:val="22"/>
      </w:rPr>
      <w:fldChar w:fldCharType="end"/>
    </w:r>
    <w:r w:rsidRPr="00940BB9">
      <w:rPr>
        <w:sz w:val="22"/>
      </w:rPr>
      <w:t xml:space="preserve"> sur </w:t>
    </w:r>
    <w:r w:rsidRPr="00940BB9">
      <w:rPr>
        <w:b/>
        <w:bCs/>
        <w:sz w:val="22"/>
      </w:rPr>
      <w:fldChar w:fldCharType="begin"/>
    </w:r>
    <w:r w:rsidRPr="00940BB9">
      <w:rPr>
        <w:b/>
        <w:bCs/>
        <w:sz w:val="22"/>
      </w:rPr>
      <w:instrText>NUMPAGES  \* Arabic  \* MERGEFORMAT</w:instrText>
    </w:r>
    <w:r w:rsidRPr="00940BB9">
      <w:rPr>
        <w:b/>
        <w:bCs/>
        <w:sz w:val="22"/>
      </w:rPr>
      <w:fldChar w:fldCharType="separate"/>
    </w:r>
    <w:r>
      <w:rPr>
        <w:b/>
        <w:bCs/>
        <w:sz w:val="22"/>
      </w:rPr>
      <w:t>53</w:t>
    </w:r>
    <w:r w:rsidRPr="00940BB9">
      <w:rPr>
        <w:b/>
        <w:bCs/>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15C46" w14:textId="77777777" w:rsidR="00E705D9" w:rsidRDefault="00E705D9" w:rsidP="000E407C">
      <w:r>
        <w:separator/>
      </w:r>
    </w:p>
  </w:footnote>
  <w:footnote w:type="continuationSeparator" w:id="0">
    <w:p w14:paraId="5D7AF767" w14:textId="77777777" w:rsidR="00E705D9" w:rsidRDefault="00E705D9" w:rsidP="000E40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6E419" w14:textId="3BBB2093" w:rsidR="0010043C" w:rsidRDefault="0010043C">
    <w:pPr>
      <w:pStyle w:val="En-tte"/>
    </w:pPr>
    <w:r>
      <w:rPr>
        <w:noProof/>
      </w:rPr>
      <w:drawing>
        <wp:anchor distT="0" distB="0" distL="114300" distR="114300" simplePos="0" relativeHeight="251658240" behindDoc="0" locked="0" layoutInCell="1" allowOverlap="1" wp14:anchorId="5DA56C92" wp14:editId="726BD64F">
          <wp:simplePos x="0" y="0"/>
          <wp:positionH relativeFrom="column">
            <wp:posOffset>-647065</wp:posOffset>
          </wp:positionH>
          <wp:positionV relativeFrom="paragraph">
            <wp:posOffset>-321945</wp:posOffset>
          </wp:positionV>
          <wp:extent cx="1694815" cy="622300"/>
          <wp:effectExtent l="0" t="0" r="0" b="0"/>
          <wp:wrapNone/>
          <wp:docPr id="184441866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4815" cy="6223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2E676" w14:textId="105E31D3" w:rsidR="0010043C" w:rsidRDefault="0010043C">
    <w:pPr>
      <w:pStyle w:val="En-tte"/>
    </w:pPr>
    <w:r>
      <w:rPr>
        <w:noProof/>
      </w:rPr>
      <w:drawing>
        <wp:anchor distT="0" distB="0" distL="114300" distR="114300" simplePos="0" relativeHeight="251660288" behindDoc="0" locked="0" layoutInCell="1" allowOverlap="1" wp14:anchorId="08AA3084" wp14:editId="367F170A">
          <wp:simplePos x="0" y="0"/>
          <wp:positionH relativeFrom="column">
            <wp:posOffset>-695325</wp:posOffset>
          </wp:positionH>
          <wp:positionV relativeFrom="paragraph">
            <wp:posOffset>-314960</wp:posOffset>
          </wp:positionV>
          <wp:extent cx="1694815" cy="622300"/>
          <wp:effectExtent l="0" t="0" r="0" b="0"/>
          <wp:wrapNone/>
          <wp:docPr id="531260203" name="Image 531260203" descr="Une image contenant text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260203" name="Image 531260203" descr="Une image contenant texte, logo&#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4815" cy="622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40CCF"/>
    <w:multiLevelType w:val="hybridMultilevel"/>
    <w:tmpl w:val="7ED650E0"/>
    <w:lvl w:ilvl="0" w:tplc="FFFFFFFF">
      <w:numFmt w:val="bullet"/>
      <w:lvlText w:val="-"/>
      <w:lvlJc w:val="left"/>
      <w:pPr>
        <w:ind w:left="720" w:hanging="360"/>
      </w:pPr>
      <w:rPr>
        <w:rFonts w:ascii="Calibri" w:eastAsiaTheme="minorHAnsi" w:hAnsi="Calibri" w:cs="Calibri" w:hint="default"/>
      </w:rPr>
    </w:lvl>
    <w:lvl w:ilvl="1" w:tplc="FFFFFFFF">
      <w:numFmt w:val="bullet"/>
      <w:lvlText w:val="•"/>
      <w:lvlJc w:val="left"/>
      <w:pPr>
        <w:ind w:left="1440" w:hanging="360"/>
      </w:pPr>
      <w:rPr>
        <w:rFonts w:ascii="Calibri" w:eastAsiaTheme="minorHAnsi" w:hAnsi="Calibri" w:cs="Calibri" w:hint="default"/>
      </w:rPr>
    </w:lvl>
    <w:lvl w:ilvl="2" w:tplc="040C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B807B4"/>
    <w:multiLevelType w:val="hybridMultilevel"/>
    <w:tmpl w:val="5C801D64"/>
    <w:lvl w:ilvl="0" w:tplc="812030B0">
      <w:numFmt w:val="bullet"/>
      <w:lvlText w:val="-"/>
      <w:lvlJc w:val="left"/>
      <w:pPr>
        <w:ind w:left="1065" w:hanging="705"/>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3033616"/>
    <w:multiLevelType w:val="hybridMultilevel"/>
    <w:tmpl w:val="2E1688D2"/>
    <w:lvl w:ilvl="0" w:tplc="FFFFFFFF">
      <w:numFmt w:val="bullet"/>
      <w:lvlText w:val="-"/>
      <w:lvlJc w:val="left"/>
      <w:pPr>
        <w:ind w:left="720" w:hanging="360"/>
      </w:pPr>
      <w:rPr>
        <w:rFonts w:ascii="Calibri" w:eastAsiaTheme="minorHAnsi" w:hAnsi="Calibri" w:cs="Calibri" w:hint="default"/>
      </w:rPr>
    </w:lvl>
    <w:lvl w:ilvl="1" w:tplc="93500434">
      <w:numFmt w:val="bullet"/>
      <w:lvlText w:val="-"/>
      <w:lvlJc w:val="left"/>
      <w:pPr>
        <w:ind w:left="720" w:hanging="360"/>
      </w:pPr>
      <w:rPr>
        <w:rFonts w:ascii="Calibri" w:eastAsiaTheme="minorHAnsi" w:hAnsi="Calibri" w:cs="Calibri" w:hint="default"/>
      </w:rPr>
    </w:lvl>
    <w:lvl w:ilvl="2" w:tplc="FFFFFFFF">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41F5319"/>
    <w:multiLevelType w:val="hybridMultilevel"/>
    <w:tmpl w:val="3BB62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459721A"/>
    <w:multiLevelType w:val="hybridMultilevel"/>
    <w:tmpl w:val="574EA528"/>
    <w:lvl w:ilvl="0" w:tplc="9350043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8182EDA"/>
    <w:multiLevelType w:val="hybridMultilevel"/>
    <w:tmpl w:val="493853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9025468"/>
    <w:multiLevelType w:val="hybridMultilevel"/>
    <w:tmpl w:val="E2184D06"/>
    <w:lvl w:ilvl="0" w:tplc="9350043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9AA77B7"/>
    <w:multiLevelType w:val="hybridMultilevel"/>
    <w:tmpl w:val="D78E1364"/>
    <w:lvl w:ilvl="0" w:tplc="9350043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F0868AD"/>
    <w:multiLevelType w:val="hybridMultilevel"/>
    <w:tmpl w:val="F5824344"/>
    <w:lvl w:ilvl="0" w:tplc="9350043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3DE5184"/>
    <w:multiLevelType w:val="hybridMultilevel"/>
    <w:tmpl w:val="06762F82"/>
    <w:lvl w:ilvl="0" w:tplc="FFFFFFFF">
      <w:numFmt w:val="bullet"/>
      <w:lvlText w:val="-"/>
      <w:lvlJc w:val="left"/>
      <w:pPr>
        <w:ind w:left="720" w:hanging="360"/>
      </w:pPr>
      <w:rPr>
        <w:rFonts w:ascii="Calibri" w:eastAsiaTheme="minorHAnsi" w:hAnsi="Calibri" w:cs="Calibri" w:hint="default"/>
      </w:rPr>
    </w:lvl>
    <w:lvl w:ilvl="1" w:tplc="FFFFFFFF">
      <w:numFmt w:val="bullet"/>
      <w:lvlText w:val="•"/>
      <w:lvlJc w:val="left"/>
      <w:pPr>
        <w:ind w:left="1440" w:hanging="360"/>
      </w:pPr>
      <w:rPr>
        <w:rFonts w:ascii="Calibri" w:eastAsiaTheme="minorHAnsi" w:hAnsi="Calibri" w:cs="Calibri" w:hint="default"/>
      </w:rPr>
    </w:lvl>
    <w:lvl w:ilvl="2" w:tplc="040C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5964D54"/>
    <w:multiLevelType w:val="hybridMultilevel"/>
    <w:tmpl w:val="EE84D012"/>
    <w:lvl w:ilvl="0" w:tplc="FFFFFFFF">
      <w:numFmt w:val="bullet"/>
      <w:lvlText w:val="-"/>
      <w:lvlJc w:val="left"/>
      <w:pPr>
        <w:ind w:left="720" w:hanging="360"/>
      </w:pPr>
      <w:rPr>
        <w:rFonts w:ascii="Calibri" w:eastAsiaTheme="minorHAnsi" w:hAnsi="Calibri" w:cs="Calibri" w:hint="default"/>
      </w:rPr>
    </w:lvl>
    <w:lvl w:ilvl="1" w:tplc="FFFFFFFF">
      <w:numFmt w:val="bullet"/>
      <w:lvlText w:val="•"/>
      <w:lvlJc w:val="left"/>
      <w:pPr>
        <w:ind w:left="1440" w:hanging="360"/>
      </w:pPr>
      <w:rPr>
        <w:rFonts w:ascii="Calibri" w:eastAsiaTheme="minorHAnsi" w:hAnsi="Calibri" w:cs="Calibri" w:hint="default"/>
      </w:rPr>
    </w:lvl>
    <w:lvl w:ilvl="2" w:tplc="040C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7AB1DCF"/>
    <w:multiLevelType w:val="hybridMultilevel"/>
    <w:tmpl w:val="ABBA9BC8"/>
    <w:lvl w:ilvl="0" w:tplc="E7BEFD78">
      <w:numFmt w:val="bullet"/>
      <w:lvlText w:val="-"/>
      <w:lvlJc w:val="left"/>
      <w:pPr>
        <w:ind w:left="1065" w:hanging="705"/>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83C5EDF"/>
    <w:multiLevelType w:val="hybridMultilevel"/>
    <w:tmpl w:val="9552FA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9ED5E72"/>
    <w:multiLevelType w:val="hybridMultilevel"/>
    <w:tmpl w:val="719497BE"/>
    <w:lvl w:ilvl="0" w:tplc="93500434">
      <w:numFmt w:val="bullet"/>
      <w:lvlText w:val="-"/>
      <w:lvlJc w:val="left"/>
      <w:pPr>
        <w:ind w:left="1080" w:hanging="360"/>
      </w:pPr>
      <w:rPr>
        <w:rFonts w:ascii="Calibri" w:eastAsiaTheme="minorHAnsi" w:hAnsi="Calibri" w:cs="Calibri"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1A5B414D"/>
    <w:multiLevelType w:val="hybridMultilevel"/>
    <w:tmpl w:val="9000F87A"/>
    <w:lvl w:ilvl="0" w:tplc="040C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5A43F8D"/>
    <w:multiLevelType w:val="hybridMultilevel"/>
    <w:tmpl w:val="1B0CFE60"/>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69F554E"/>
    <w:multiLevelType w:val="hybridMultilevel"/>
    <w:tmpl w:val="B6B027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80C20DE"/>
    <w:multiLevelType w:val="hybridMultilevel"/>
    <w:tmpl w:val="3148268E"/>
    <w:lvl w:ilvl="0" w:tplc="9350043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B27442E"/>
    <w:multiLevelType w:val="hybridMultilevel"/>
    <w:tmpl w:val="D1FC4ED4"/>
    <w:lvl w:ilvl="0" w:tplc="93500434">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3DB05B4"/>
    <w:multiLevelType w:val="hybridMultilevel"/>
    <w:tmpl w:val="F9FCCDF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5E009DE"/>
    <w:multiLevelType w:val="hybridMultilevel"/>
    <w:tmpl w:val="6B44A602"/>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1" w15:restartNumberingAfterBreak="0">
    <w:nsid w:val="3878221B"/>
    <w:multiLevelType w:val="hybridMultilevel"/>
    <w:tmpl w:val="5C7A28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CFD0229"/>
    <w:multiLevelType w:val="hybridMultilevel"/>
    <w:tmpl w:val="0B087A1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3D036D83"/>
    <w:multiLevelType w:val="hybridMultilevel"/>
    <w:tmpl w:val="13AE4C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1E35E4D"/>
    <w:multiLevelType w:val="hybridMultilevel"/>
    <w:tmpl w:val="08B6A94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26155D5"/>
    <w:multiLevelType w:val="hybridMultilevel"/>
    <w:tmpl w:val="1D3C03A8"/>
    <w:lvl w:ilvl="0" w:tplc="9350043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3B5275E"/>
    <w:multiLevelType w:val="hybridMultilevel"/>
    <w:tmpl w:val="1B1682D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6D22657"/>
    <w:multiLevelType w:val="hybridMultilevel"/>
    <w:tmpl w:val="45A2C3D2"/>
    <w:lvl w:ilvl="0" w:tplc="A9187FA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470F5A58"/>
    <w:multiLevelType w:val="hybridMultilevel"/>
    <w:tmpl w:val="4FB086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B5D6E16"/>
    <w:multiLevelType w:val="hybridMultilevel"/>
    <w:tmpl w:val="45AC2C6A"/>
    <w:lvl w:ilvl="0" w:tplc="B33EFD54">
      <w:numFmt w:val="bullet"/>
      <w:lvlText w:val="-"/>
      <w:lvlJc w:val="left"/>
      <w:pPr>
        <w:ind w:left="1065" w:hanging="705"/>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E4E4884"/>
    <w:multiLevelType w:val="hybridMultilevel"/>
    <w:tmpl w:val="620A9B1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FDA237A"/>
    <w:multiLevelType w:val="hybridMultilevel"/>
    <w:tmpl w:val="5F64E5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279418D"/>
    <w:multiLevelType w:val="hybridMultilevel"/>
    <w:tmpl w:val="93CC8DFC"/>
    <w:lvl w:ilvl="0" w:tplc="9350043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54632B2"/>
    <w:multiLevelType w:val="hybridMultilevel"/>
    <w:tmpl w:val="32B4A3A2"/>
    <w:lvl w:ilvl="0" w:tplc="93500434">
      <w:numFmt w:val="bullet"/>
      <w:lvlText w:val="-"/>
      <w:lvlJc w:val="left"/>
      <w:pPr>
        <w:ind w:left="720" w:hanging="360"/>
      </w:pPr>
      <w:rPr>
        <w:rFonts w:ascii="Calibri" w:eastAsiaTheme="minorHAnsi" w:hAnsi="Calibri" w:cs="Calibri" w:hint="default"/>
      </w:rPr>
    </w:lvl>
    <w:lvl w:ilvl="1" w:tplc="2E6424E2">
      <w:numFmt w:val="bullet"/>
      <w:lvlText w:val=""/>
      <w:lvlJc w:val="left"/>
      <w:pPr>
        <w:ind w:left="1440" w:hanging="360"/>
      </w:pPr>
      <w:rPr>
        <w:rFonts w:ascii="Symbol" w:eastAsiaTheme="minorHAnsi" w:hAnsi="Symbol"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F877A89"/>
    <w:multiLevelType w:val="hybridMultilevel"/>
    <w:tmpl w:val="45F63ABA"/>
    <w:lvl w:ilvl="0" w:tplc="040C000B">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5" w15:restartNumberingAfterBreak="0">
    <w:nsid w:val="682D54EB"/>
    <w:multiLevelType w:val="hybridMultilevel"/>
    <w:tmpl w:val="10B8D94A"/>
    <w:lvl w:ilvl="0" w:tplc="EB1E5BB8">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6" w15:restartNumberingAfterBreak="0">
    <w:nsid w:val="69B87A5B"/>
    <w:multiLevelType w:val="hybridMultilevel"/>
    <w:tmpl w:val="982C723A"/>
    <w:lvl w:ilvl="0" w:tplc="9350043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03023E6"/>
    <w:multiLevelType w:val="hybridMultilevel"/>
    <w:tmpl w:val="BF64F958"/>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38" w15:restartNumberingAfterBreak="0">
    <w:nsid w:val="71F35176"/>
    <w:multiLevelType w:val="hybridMultilevel"/>
    <w:tmpl w:val="392EE938"/>
    <w:lvl w:ilvl="0" w:tplc="93500434">
      <w:numFmt w:val="bullet"/>
      <w:lvlText w:val="-"/>
      <w:lvlJc w:val="left"/>
      <w:pPr>
        <w:ind w:left="720" w:hanging="360"/>
      </w:pPr>
      <w:rPr>
        <w:rFonts w:ascii="Calibri" w:eastAsiaTheme="minorHAnsi" w:hAnsi="Calibri" w:cs="Calibri" w:hint="default"/>
      </w:rPr>
    </w:lvl>
    <w:lvl w:ilvl="1" w:tplc="87D8FC0A">
      <w:numFmt w:val="bullet"/>
      <w:lvlText w:val="•"/>
      <w:lvlJc w:val="left"/>
      <w:pPr>
        <w:ind w:left="1440" w:hanging="360"/>
      </w:pPr>
      <w:rPr>
        <w:rFonts w:ascii="Calibri" w:eastAsiaTheme="minorHAnsi" w:hAnsi="Calibri" w:cs="Calibri" w:hint="default"/>
      </w:rPr>
    </w:lvl>
    <w:lvl w:ilvl="2" w:tplc="AB042892">
      <w:numFmt w:val="bullet"/>
      <w:lvlText w:val=""/>
      <w:lvlJc w:val="left"/>
      <w:pPr>
        <w:ind w:left="2160" w:hanging="360"/>
      </w:pPr>
      <w:rPr>
        <w:rFonts w:ascii="Symbol" w:eastAsiaTheme="minorHAnsi" w:hAnsi="Symbol" w:cstheme="minorBidi"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36B0F2E"/>
    <w:multiLevelType w:val="hybridMultilevel"/>
    <w:tmpl w:val="5C3C0832"/>
    <w:lvl w:ilvl="0" w:tplc="CC6CF40E">
      <w:start w:val="1"/>
      <w:numFmt w:val="lowerLetter"/>
      <w:lvlText w:val="%1)"/>
      <w:lvlJc w:val="left"/>
      <w:pPr>
        <w:ind w:left="735" w:hanging="37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7B425B0B"/>
    <w:multiLevelType w:val="hybridMultilevel"/>
    <w:tmpl w:val="056676B4"/>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CDB21C6"/>
    <w:multiLevelType w:val="hybridMultilevel"/>
    <w:tmpl w:val="1CF41944"/>
    <w:lvl w:ilvl="0" w:tplc="3C2CCFD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E817794"/>
    <w:multiLevelType w:val="hybridMultilevel"/>
    <w:tmpl w:val="6A64DD8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91995866">
    <w:abstractNumId w:val="27"/>
  </w:num>
  <w:num w:numId="2" w16cid:durableId="1316908409">
    <w:abstractNumId w:val="22"/>
  </w:num>
  <w:num w:numId="3" w16cid:durableId="625892472">
    <w:abstractNumId w:val="21"/>
  </w:num>
  <w:num w:numId="4" w16cid:durableId="1858999799">
    <w:abstractNumId w:val="14"/>
  </w:num>
  <w:num w:numId="5" w16cid:durableId="1859082332">
    <w:abstractNumId w:val="42"/>
  </w:num>
  <w:num w:numId="6" w16cid:durableId="1675566161">
    <w:abstractNumId w:val="12"/>
  </w:num>
  <w:num w:numId="7" w16cid:durableId="898249859">
    <w:abstractNumId w:val="32"/>
  </w:num>
  <w:num w:numId="8" w16cid:durableId="480343876">
    <w:abstractNumId w:val="25"/>
  </w:num>
  <w:num w:numId="9" w16cid:durableId="2018997183">
    <w:abstractNumId w:val="17"/>
  </w:num>
  <w:num w:numId="10" w16cid:durableId="1875465134">
    <w:abstractNumId w:val="6"/>
  </w:num>
  <w:num w:numId="11" w16cid:durableId="1561400443">
    <w:abstractNumId w:val="38"/>
  </w:num>
  <w:num w:numId="12" w16cid:durableId="1558585315">
    <w:abstractNumId w:val="10"/>
  </w:num>
  <w:num w:numId="13" w16cid:durableId="1427648546">
    <w:abstractNumId w:val="26"/>
  </w:num>
  <w:num w:numId="14" w16cid:durableId="1869176290">
    <w:abstractNumId w:val="39"/>
  </w:num>
  <w:num w:numId="15" w16cid:durableId="616254160">
    <w:abstractNumId w:val="33"/>
  </w:num>
  <w:num w:numId="16" w16cid:durableId="20711550">
    <w:abstractNumId w:val="7"/>
  </w:num>
  <w:num w:numId="17" w16cid:durableId="438448324">
    <w:abstractNumId w:val="2"/>
  </w:num>
  <w:num w:numId="18" w16cid:durableId="755171745">
    <w:abstractNumId w:val="23"/>
  </w:num>
  <w:num w:numId="19" w16cid:durableId="1848594110">
    <w:abstractNumId w:val="41"/>
  </w:num>
  <w:num w:numId="20" w16cid:durableId="760220024">
    <w:abstractNumId w:val="35"/>
  </w:num>
  <w:num w:numId="21" w16cid:durableId="64961791">
    <w:abstractNumId w:val="13"/>
  </w:num>
  <w:num w:numId="22" w16cid:durableId="690761624">
    <w:abstractNumId w:val="4"/>
  </w:num>
  <w:num w:numId="23" w16cid:durableId="1328942489">
    <w:abstractNumId w:val="29"/>
  </w:num>
  <w:num w:numId="24" w16cid:durableId="1030566430">
    <w:abstractNumId w:val="36"/>
  </w:num>
  <w:num w:numId="25" w16cid:durableId="613370183">
    <w:abstractNumId w:val="11"/>
  </w:num>
  <w:num w:numId="26" w16cid:durableId="2119063150">
    <w:abstractNumId w:val="8"/>
  </w:num>
  <w:num w:numId="27" w16cid:durableId="1278413679">
    <w:abstractNumId w:val="1"/>
  </w:num>
  <w:num w:numId="28" w16cid:durableId="1783332600">
    <w:abstractNumId w:val="24"/>
  </w:num>
  <w:num w:numId="29" w16cid:durableId="2041515191">
    <w:abstractNumId w:val="3"/>
  </w:num>
  <w:num w:numId="30" w16cid:durableId="395400771">
    <w:abstractNumId w:val="5"/>
  </w:num>
  <w:num w:numId="31" w16cid:durableId="225996533">
    <w:abstractNumId w:val="9"/>
  </w:num>
  <w:num w:numId="32" w16cid:durableId="1527713209">
    <w:abstractNumId w:val="19"/>
  </w:num>
  <w:num w:numId="33" w16cid:durableId="1574466063">
    <w:abstractNumId w:val="18"/>
  </w:num>
  <w:num w:numId="34" w16cid:durableId="100227875">
    <w:abstractNumId w:val="0"/>
  </w:num>
  <w:num w:numId="35" w16cid:durableId="62069607">
    <w:abstractNumId w:val="37"/>
  </w:num>
  <w:num w:numId="36" w16cid:durableId="1858929348">
    <w:abstractNumId w:val="31"/>
  </w:num>
  <w:num w:numId="37" w16cid:durableId="1762143005">
    <w:abstractNumId w:val="20"/>
  </w:num>
  <w:num w:numId="38" w16cid:durableId="1797485833">
    <w:abstractNumId w:val="16"/>
  </w:num>
  <w:num w:numId="39" w16cid:durableId="1076171621">
    <w:abstractNumId w:val="28"/>
  </w:num>
  <w:num w:numId="40" w16cid:durableId="33622429">
    <w:abstractNumId w:val="40"/>
  </w:num>
  <w:num w:numId="41" w16cid:durableId="1452356117">
    <w:abstractNumId w:val="15"/>
  </w:num>
  <w:num w:numId="42" w16cid:durableId="158354285">
    <w:abstractNumId w:val="30"/>
  </w:num>
  <w:num w:numId="43" w16cid:durableId="209199849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B26"/>
    <w:rsid w:val="00004849"/>
    <w:rsid w:val="00007F5D"/>
    <w:rsid w:val="00040C6F"/>
    <w:rsid w:val="00042445"/>
    <w:rsid w:val="00051037"/>
    <w:rsid w:val="00062C36"/>
    <w:rsid w:val="000650C4"/>
    <w:rsid w:val="000716A9"/>
    <w:rsid w:val="00072010"/>
    <w:rsid w:val="00077282"/>
    <w:rsid w:val="00097566"/>
    <w:rsid w:val="000B00C3"/>
    <w:rsid w:val="000B2EB5"/>
    <w:rsid w:val="000E407C"/>
    <w:rsid w:val="0010043C"/>
    <w:rsid w:val="00103D95"/>
    <w:rsid w:val="001072DF"/>
    <w:rsid w:val="00116BB8"/>
    <w:rsid w:val="001272A7"/>
    <w:rsid w:val="0014373F"/>
    <w:rsid w:val="00150DED"/>
    <w:rsid w:val="00160FD0"/>
    <w:rsid w:val="0017719F"/>
    <w:rsid w:val="00182078"/>
    <w:rsid w:val="0019432B"/>
    <w:rsid w:val="00197C0A"/>
    <w:rsid w:val="001A793C"/>
    <w:rsid w:val="001E0A14"/>
    <w:rsid w:val="001F2A81"/>
    <w:rsid w:val="0020126E"/>
    <w:rsid w:val="00207C15"/>
    <w:rsid w:val="002122FD"/>
    <w:rsid w:val="0022588A"/>
    <w:rsid w:val="00234C88"/>
    <w:rsid w:val="00246722"/>
    <w:rsid w:val="002578AE"/>
    <w:rsid w:val="00260015"/>
    <w:rsid w:val="00262D24"/>
    <w:rsid w:val="002666B6"/>
    <w:rsid w:val="00266E01"/>
    <w:rsid w:val="00275BB4"/>
    <w:rsid w:val="002839F8"/>
    <w:rsid w:val="002B41E5"/>
    <w:rsid w:val="002C15B6"/>
    <w:rsid w:val="002C65B0"/>
    <w:rsid w:val="002D5102"/>
    <w:rsid w:val="002D7856"/>
    <w:rsid w:val="002F2682"/>
    <w:rsid w:val="002F7B73"/>
    <w:rsid w:val="003123B1"/>
    <w:rsid w:val="003124D4"/>
    <w:rsid w:val="003127FD"/>
    <w:rsid w:val="0032054D"/>
    <w:rsid w:val="003303A2"/>
    <w:rsid w:val="0033774E"/>
    <w:rsid w:val="00342DBF"/>
    <w:rsid w:val="003543AB"/>
    <w:rsid w:val="0035467A"/>
    <w:rsid w:val="00361894"/>
    <w:rsid w:val="003732D8"/>
    <w:rsid w:val="00396484"/>
    <w:rsid w:val="003A35EE"/>
    <w:rsid w:val="003D15DF"/>
    <w:rsid w:val="003F1461"/>
    <w:rsid w:val="00400115"/>
    <w:rsid w:val="00401C18"/>
    <w:rsid w:val="00405B26"/>
    <w:rsid w:val="004163DD"/>
    <w:rsid w:val="0042188E"/>
    <w:rsid w:val="004338DF"/>
    <w:rsid w:val="004441A4"/>
    <w:rsid w:val="004746F7"/>
    <w:rsid w:val="004948B8"/>
    <w:rsid w:val="004A09EA"/>
    <w:rsid w:val="004A4F42"/>
    <w:rsid w:val="004B731F"/>
    <w:rsid w:val="004C5AB5"/>
    <w:rsid w:val="004D1879"/>
    <w:rsid w:val="004D3D77"/>
    <w:rsid w:val="004E27A2"/>
    <w:rsid w:val="005021F2"/>
    <w:rsid w:val="005175A9"/>
    <w:rsid w:val="00533B9D"/>
    <w:rsid w:val="0054722F"/>
    <w:rsid w:val="00555E28"/>
    <w:rsid w:val="005569A4"/>
    <w:rsid w:val="005575E7"/>
    <w:rsid w:val="00561A83"/>
    <w:rsid w:val="00563B97"/>
    <w:rsid w:val="005839BF"/>
    <w:rsid w:val="0059254B"/>
    <w:rsid w:val="0059694B"/>
    <w:rsid w:val="005A0455"/>
    <w:rsid w:val="005C5699"/>
    <w:rsid w:val="005D72EA"/>
    <w:rsid w:val="005D73C5"/>
    <w:rsid w:val="00607E37"/>
    <w:rsid w:val="006167AC"/>
    <w:rsid w:val="0061781E"/>
    <w:rsid w:val="00643A48"/>
    <w:rsid w:val="00656523"/>
    <w:rsid w:val="00673ED3"/>
    <w:rsid w:val="006815CE"/>
    <w:rsid w:val="0068772B"/>
    <w:rsid w:val="006A56ED"/>
    <w:rsid w:val="006C260F"/>
    <w:rsid w:val="006D23B3"/>
    <w:rsid w:val="006D4F00"/>
    <w:rsid w:val="006F1CBE"/>
    <w:rsid w:val="006F7D28"/>
    <w:rsid w:val="00710A44"/>
    <w:rsid w:val="00716370"/>
    <w:rsid w:val="007177D5"/>
    <w:rsid w:val="00720D58"/>
    <w:rsid w:val="00724870"/>
    <w:rsid w:val="00767B58"/>
    <w:rsid w:val="0077247E"/>
    <w:rsid w:val="00787502"/>
    <w:rsid w:val="007D3AF7"/>
    <w:rsid w:val="008021AC"/>
    <w:rsid w:val="00815761"/>
    <w:rsid w:val="008209D0"/>
    <w:rsid w:val="00833F83"/>
    <w:rsid w:val="00850150"/>
    <w:rsid w:val="00851BEB"/>
    <w:rsid w:val="00863C07"/>
    <w:rsid w:val="00867E59"/>
    <w:rsid w:val="008757A2"/>
    <w:rsid w:val="0088195F"/>
    <w:rsid w:val="0088435B"/>
    <w:rsid w:val="008908DE"/>
    <w:rsid w:val="00890EED"/>
    <w:rsid w:val="008B2605"/>
    <w:rsid w:val="008B7B79"/>
    <w:rsid w:val="008D12F8"/>
    <w:rsid w:val="008D6077"/>
    <w:rsid w:val="008E472A"/>
    <w:rsid w:val="008F0967"/>
    <w:rsid w:val="008F23CD"/>
    <w:rsid w:val="008F2A84"/>
    <w:rsid w:val="008F549E"/>
    <w:rsid w:val="0092534D"/>
    <w:rsid w:val="00934BBE"/>
    <w:rsid w:val="0095155F"/>
    <w:rsid w:val="00995569"/>
    <w:rsid w:val="009A5B12"/>
    <w:rsid w:val="009B15B1"/>
    <w:rsid w:val="009D05CB"/>
    <w:rsid w:val="009D22B2"/>
    <w:rsid w:val="009D398D"/>
    <w:rsid w:val="009E746D"/>
    <w:rsid w:val="00A00696"/>
    <w:rsid w:val="00A05AD3"/>
    <w:rsid w:val="00A115B8"/>
    <w:rsid w:val="00A20849"/>
    <w:rsid w:val="00A353D0"/>
    <w:rsid w:val="00A71BF1"/>
    <w:rsid w:val="00A819D3"/>
    <w:rsid w:val="00A929B5"/>
    <w:rsid w:val="00AB134A"/>
    <w:rsid w:val="00AB3974"/>
    <w:rsid w:val="00AE1BA5"/>
    <w:rsid w:val="00B1489B"/>
    <w:rsid w:val="00B22FFC"/>
    <w:rsid w:val="00B428CC"/>
    <w:rsid w:val="00B51EC9"/>
    <w:rsid w:val="00B5782F"/>
    <w:rsid w:val="00B7435E"/>
    <w:rsid w:val="00B87912"/>
    <w:rsid w:val="00BA432E"/>
    <w:rsid w:val="00BA701A"/>
    <w:rsid w:val="00BC7F12"/>
    <w:rsid w:val="00BF3155"/>
    <w:rsid w:val="00BF79D0"/>
    <w:rsid w:val="00C10FC0"/>
    <w:rsid w:val="00C17C14"/>
    <w:rsid w:val="00C24C78"/>
    <w:rsid w:val="00C46FE8"/>
    <w:rsid w:val="00C8544A"/>
    <w:rsid w:val="00C95914"/>
    <w:rsid w:val="00CB75D1"/>
    <w:rsid w:val="00CC79AC"/>
    <w:rsid w:val="00CD4FB5"/>
    <w:rsid w:val="00CE0A03"/>
    <w:rsid w:val="00CE4D43"/>
    <w:rsid w:val="00CE66B0"/>
    <w:rsid w:val="00D07C35"/>
    <w:rsid w:val="00D24DB2"/>
    <w:rsid w:val="00D33EC5"/>
    <w:rsid w:val="00D36B81"/>
    <w:rsid w:val="00D5676E"/>
    <w:rsid w:val="00D7564A"/>
    <w:rsid w:val="00D85296"/>
    <w:rsid w:val="00D8538F"/>
    <w:rsid w:val="00DA16C7"/>
    <w:rsid w:val="00DA5D8C"/>
    <w:rsid w:val="00DC5D2D"/>
    <w:rsid w:val="00DE22A9"/>
    <w:rsid w:val="00DF1BE1"/>
    <w:rsid w:val="00DF54F4"/>
    <w:rsid w:val="00E11C73"/>
    <w:rsid w:val="00E32BFC"/>
    <w:rsid w:val="00E44B49"/>
    <w:rsid w:val="00E705D9"/>
    <w:rsid w:val="00E77EDB"/>
    <w:rsid w:val="00E86935"/>
    <w:rsid w:val="00E9099A"/>
    <w:rsid w:val="00E91A80"/>
    <w:rsid w:val="00E974B9"/>
    <w:rsid w:val="00EB1FB6"/>
    <w:rsid w:val="00EB39B8"/>
    <w:rsid w:val="00ED27C6"/>
    <w:rsid w:val="00EF4E56"/>
    <w:rsid w:val="00F03DFC"/>
    <w:rsid w:val="00F05918"/>
    <w:rsid w:val="00F1118B"/>
    <w:rsid w:val="00F25BCE"/>
    <w:rsid w:val="00F4286E"/>
    <w:rsid w:val="00F47539"/>
    <w:rsid w:val="00F562F2"/>
    <w:rsid w:val="00F77271"/>
    <w:rsid w:val="00F87534"/>
    <w:rsid w:val="00FA7054"/>
    <w:rsid w:val="00FB60B3"/>
    <w:rsid w:val="00FB78B4"/>
    <w:rsid w:val="00FD3E7F"/>
    <w:rsid w:val="00FD72F7"/>
    <w:rsid w:val="00FF4E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26EDA"/>
  <w15:chartTrackingRefBased/>
  <w15:docId w15:val="{63EBDC39-A8EE-4088-9E31-181DED650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2A7"/>
    <w:pPr>
      <w:spacing w:after="0" w:line="240" w:lineRule="auto"/>
      <w:jc w:val="both"/>
    </w:pPr>
    <w:rPr>
      <w:sz w:val="24"/>
      <w:szCs w:val="24"/>
    </w:rPr>
  </w:style>
  <w:style w:type="paragraph" w:styleId="Titre1">
    <w:name w:val="heading 1"/>
    <w:basedOn w:val="Titre3"/>
    <w:next w:val="Normal"/>
    <w:link w:val="Titre1Car"/>
    <w:uiPriority w:val="9"/>
    <w:qFormat/>
    <w:rsid w:val="000E407C"/>
    <w:pPr>
      <w:keepNext w:val="0"/>
      <w:keepLines w:val="0"/>
      <w:shd w:val="clear" w:color="auto" w:fill="223263"/>
      <w:spacing w:before="0" w:after="160" w:line="259" w:lineRule="auto"/>
      <w:jc w:val="left"/>
      <w:outlineLvl w:val="0"/>
    </w:pPr>
    <w:rPr>
      <w:rFonts w:asciiTheme="minorHAnsi" w:eastAsiaTheme="minorEastAsia" w:hAnsiTheme="minorHAnsi" w:cstheme="minorBidi"/>
      <w:b/>
      <w:color w:val="FFFFFF" w:themeColor="background1"/>
      <w:spacing w:val="15"/>
      <w:szCs w:val="22"/>
    </w:rPr>
  </w:style>
  <w:style w:type="paragraph" w:styleId="Titre2">
    <w:name w:val="heading 2"/>
    <w:basedOn w:val="Normal"/>
    <w:next w:val="Normal"/>
    <w:link w:val="Titre2Car"/>
    <w:uiPriority w:val="9"/>
    <w:unhideWhenUsed/>
    <w:qFormat/>
    <w:rsid w:val="00A71BF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0E407C"/>
    <w:pPr>
      <w:keepNext/>
      <w:keepLines/>
      <w:spacing w:before="40"/>
      <w:outlineLvl w:val="2"/>
    </w:pPr>
    <w:rPr>
      <w:rFonts w:asciiTheme="majorHAnsi" w:eastAsiaTheme="majorEastAsia" w:hAnsiTheme="majorHAnsi" w:cstheme="majorBidi"/>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Paragraphe EI,Paragraphe de liste1,EC,Normal bullet 2,Bullet list,List Paragraph1,Numbered List,1st level - Bullet List Paragraph,Lettre d'introduction,Paragrafo elenco,Medium Grid 1 - Accent 21,List Paragraph11,Dot pt"/>
    <w:basedOn w:val="Normal"/>
    <w:link w:val="ParagraphedelisteCar1"/>
    <w:uiPriority w:val="1"/>
    <w:qFormat/>
    <w:rsid w:val="001272A7"/>
    <w:pPr>
      <w:ind w:left="720"/>
      <w:contextualSpacing/>
    </w:pPr>
  </w:style>
  <w:style w:type="character" w:customStyle="1" w:styleId="Titre1Car">
    <w:name w:val="Titre 1 Car"/>
    <w:basedOn w:val="Policepardfaut"/>
    <w:link w:val="Titre1"/>
    <w:uiPriority w:val="9"/>
    <w:rsid w:val="000E407C"/>
    <w:rPr>
      <w:rFonts w:eastAsiaTheme="minorEastAsia"/>
      <w:b/>
      <w:color w:val="FFFFFF" w:themeColor="background1"/>
      <w:spacing w:val="15"/>
      <w:sz w:val="24"/>
      <w:shd w:val="clear" w:color="auto" w:fill="223263"/>
    </w:rPr>
  </w:style>
  <w:style w:type="character" w:customStyle="1" w:styleId="Titre3Car">
    <w:name w:val="Titre 3 Car"/>
    <w:basedOn w:val="Policepardfaut"/>
    <w:link w:val="Titre3"/>
    <w:uiPriority w:val="9"/>
    <w:semiHidden/>
    <w:rsid w:val="000E407C"/>
    <w:rPr>
      <w:rFonts w:asciiTheme="majorHAnsi" w:eastAsiaTheme="majorEastAsia" w:hAnsiTheme="majorHAnsi" w:cstheme="majorBidi"/>
      <w:color w:val="1F3763" w:themeColor="accent1" w:themeShade="7F"/>
      <w:sz w:val="24"/>
      <w:szCs w:val="24"/>
    </w:rPr>
  </w:style>
  <w:style w:type="paragraph" w:styleId="En-tte">
    <w:name w:val="header"/>
    <w:basedOn w:val="Normal"/>
    <w:link w:val="En-tteCar"/>
    <w:uiPriority w:val="99"/>
    <w:unhideWhenUsed/>
    <w:rsid w:val="000E407C"/>
    <w:pPr>
      <w:tabs>
        <w:tab w:val="center" w:pos="4536"/>
        <w:tab w:val="right" w:pos="9072"/>
      </w:tabs>
    </w:pPr>
  </w:style>
  <w:style w:type="character" w:customStyle="1" w:styleId="En-tteCar">
    <w:name w:val="En-tête Car"/>
    <w:basedOn w:val="Policepardfaut"/>
    <w:link w:val="En-tte"/>
    <w:uiPriority w:val="99"/>
    <w:rsid w:val="000E407C"/>
    <w:rPr>
      <w:sz w:val="24"/>
      <w:szCs w:val="24"/>
    </w:rPr>
  </w:style>
  <w:style w:type="paragraph" w:styleId="Pieddepage">
    <w:name w:val="footer"/>
    <w:basedOn w:val="Normal"/>
    <w:link w:val="PieddepageCar"/>
    <w:uiPriority w:val="99"/>
    <w:unhideWhenUsed/>
    <w:rsid w:val="000E407C"/>
    <w:pPr>
      <w:tabs>
        <w:tab w:val="center" w:pos="4536"/>
        <w:tab w:val="right" w:pos="9072"/>
      </w:tabs>
    </w:pPr>
  </w:style>
  <w:style w:type="character" w:customStyle="1" w:styleId="PieddepageCar">
    <w:name w:val="Pied de page Car"/>
    <w:basedOn w:val="Policepardfaut"/>
    <w:link w:val="Pieddepage"/>
    <w:uiPriority w:val="99"/>
    <w:rsid w:val="000E407C"/>
    <w:rPr>
      <w:sz w:val="24"/>
      <w:szCs w:val="24"/>
    </w:rPr>
  </w:style>
  <w:style w:type="character" w:styleId="Lienhypertexte">
    <w:name w:val="Hyperlink"/>
    <w:basedOn w:val="Policepardfaut"/>
    <w:uiPriority w:val="99"/>
    <w:unhideWhenUsed/>
    <w:rsid w:val="000E407C"/>
    <w:rPr>
      <w:color w:val="0563C1" w:themeColor="hyperlink"/>
      <w:u w:val="single"/>
    </w:rPr>
  </w:style>
  <w:style w:type="table" w:styleId="Grilledutableau">
    <w:name w:val="Table Grid"/>
    <w:basedOn w:val="TableauNormal"/>
    <w:uiPriority w:val="39"/>
    <w:rsid w:val="000E407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unhideWhenUsed/>
    <w:qFormat/>
    <w:rsid w:val="0010043C"/>
    <w:pPr>
      <w:keepNext/>
      <w:keepLines/>
      <w:shd w:val="clear" w:color="auto" w:fill="auto"/>
      <w:spacing w:before="240" w:after="0"/>
      <w:outlineLvl w:val="9"/>
    </w:pPr>
    <w:rPr>
      <w:rFonts w:asciiTheme="majorHAnsi" w:eastAsiaTheme="majorEastAsia" w:hAnsiTheme="majorHAnsi" w:cstheme="majorBidi"/>
      <w:b w:val="0"/>
      <w:color w:val="2F5496" w:themeColor="accent1" w:themeShade="BF"/>
      <w:spacing w:val="0"/>
      <w:sz w:val="32"/>
      <w:szCs w:val="32"/>
      <w:lang w:eastAsia="fr-FR"/>
    </w:rPr>
  </w:style>
  <w:style w:type="paragraph" w:styleId="TM1">
    <w:name w:val="toc 1"/>
    <w:basedOn w:val="Normal"/>
    <w:next w:val="Normal"/>
    <w:autoRedefine/>
    <w:uiPriority w:val="39"/>
    <w:unhideWhenUsed/>
    <w:rsid w:val="0059254B"/>
    <w:pPr>
      <w:tabs>
        <w:tab w:val="right" w:leader="dot" w:pos="9062"/>
      </w:tabs>
      <w:spacing w:after="100"/>
    </w:pPr>
  </w:style>
  <w:style w:type="character" w:customStyle="1" w:styleId="Titre2Car">
    <w:name w:val="Titre 2 Car"/>
    <w:basedOn w:val="Policepardfaut"/>
    <w:link w:val="Titre2"/>
    <w:uiPriority w:val="9"/>
    <w:rsid w:val="00A71BF1"/>
    <w:rPr>
      <w:rFonts w:asciiTheme="majorHAnsi" w:eastAsiaTheme="majorEastAsia" w:hAnsiTheme="majorHAnsi" w:cstheme="majorBidi"/>
      <w:color w:val="2F5496" w:themeColor="accent1" w:themeShade="BF"/>
      <w:sz w:val="26"/>
      <w:szCs w:val="26"/>
    </w:rPr>
  </w:style>
  <w:style w:type="character" w:styleId="Mentionnonrsolue">
    <w:name w:val="Unresolved Mention"/>
    <w:basedOn w:val="Policepardfaut"/>
    <w:uiPriority w:val="99"/>
    <w:semiHidden/>
    <w:unhideWhenUsed/>
    <w:rsid w:val="00FD72F7"/>
    <w:rPr>
      <w:color w:val="605E5C"/>
      <w:shd w:val="clear" w:color="auto" w:fill="E1DFDD"/>
    </w:rPr>
  </w:style>
  <w:style w:type="paragraph" w:styleId="TM2">
    <w:name w:val="toc 2"/>
    <w:basedOn w:val="Normal"/>
    <w:next w:val="Normal"/>
    <w:autoRedefine/>
    <w:uiPriority w:val="39"/>
    <w:unhideWhenUsed/>
    <w:rsid w:val="006167AC"/>
    <w:pPr>
      <w:spacing w:after="100"/>
      <w:ind w:left="240"/>
    </w:pPr>
  </w:style>
  <w:style w:type="paragraph" w:styleId="Rvision">
    <w:name w:val="Revision"/>
    <w:hidden/>
    <w:uiPriority w:val="99"/>
    <w:semiHidden/>
    <w:rsid w:val="0061781E"/>
    <w:pPr>
      <w:spacing w:after="0" w:line="240" w:lineRule="auto"/>
    </w:pPr>
    <w:rPr>
      <w:sz w:val="24"/>
      <w:szCs w:val="24"/>
    </w:rPr>
  </w:style>
  <w:style w:type="character" w:styleId="Marquedecommentaire">
    <w:name w:val="annotation reference"/>
    <w:basedOn w:val="Policepardfaut"/>
    <w:uiPriority w:val="99"/>
    <w:semiHidden/>
    <w:unhideWhenUsed/>
    <w:rsid w:val="0061781E"/>
    <w:rPr>
      <w:sz w:val="16"/>
      <w:szCs w:val="16"/>
    </w:rPr>
  </w:style>
  <w:style w:type="paragraph" w:styleId="Commentaire">
    <w:name w:val="annotation text"/>
    <w:basedOn w:val="Normal"/>
    <w:link w:val="CommentaireCar"/>
    <w:uiPriority w:val="99"/>
    <w:unhideWhenUsed/>
    <w:rsid w:val="0061781E"/>
    <w:rPr>
      <w:sz w:val="20"/>
      <w:szCs w:val="20"/>
    </w:rPr>
  </w:style>
  <w:style w:type="character" w:customStyle="1" w:styleId="CommentaireCar">
    <w:name w:val="Commentaire Car"/>
    <w:basedOn w:val="Policepardfaut"/>
    <w:link w:val="Commentaire"/>
    <w:uiPriority w:val="99"/>
    <w:rsid w:val="0061781E"/>
    <w:rPr>
      <w:sz w:val="20"/>
      <w:szCs w:val="20"/>
    </w:rPr>
  </w:style>
  <w:style w:type="paragraph" w:styleId="Objetducommentaire">
    <w:name w:val="annotation subject"/>
    <w:basedOn w:val="Commentaire"/>
    <w:next w:val="Commentaire"/>
    <w:link w:val="ObjetducommentaireCar"/>
    <w:uiPriority w:val="99"/>
    <w:semiHidden/>
    <w:unhideWhenUsed/>
    <w:rsid w:val="0061781E"/>
    <w:rPr>
      <w:b/>
      <w:bCs/>
    </w:rPr>
  </w:style>
  <w:style w:type="character" w:customStyle="1" w:styleId="ObjetducommentaireCar">
    <w:name w:val="Objet du commentaire Car"/>
    <w:basedOn w:val="CommentaireCar"/>
    <w:link w:val="Objetducommentaire"/>
    <w:uiPriority w:val="99"/>
    <w:semiHidden/>
    <w:rsid w:val="0061781E"/>
    <w:rPr>
      <w:b/>
      <w:bCs/>
      <w:sz w:val="20"/>
      <w:szCs w:val="20"/>
    </w:rPr>
  </w:style>
  <w:style w:type="character" w:customStyle="1" w:styleId="ParagraphedelisteCar1">
    <w:name w:val="Paragraphe de liste Car1"/>
    <w:aliases w:val="Paragraphe EI Car1,Paragraphe de liste1 Car1,EC Car1,Normal bullet 2 Car1,Bullet list Car1,List Paragraph1 Car1,Numbered List Car1,1st level - Bullet List Paragraph Car1,Lettre d'introduction Car1,Paragrafo elenco Car1"/>
    <w:basedOn w:val="Policepardfaut"/>
    <w:link w:val="Paragraphedeliste"/>
    <w:uiPriority w:val="1"/>
    <w:qFormat/>
    <w:locked/>
    <w:rsid w:val="00A2084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902643">
      <w:bodyDiv w:val="1"/>
      <w:marLeft w:val="0"/>
      <w:marRight w:val="0"/>
      <w:marTop w:val="0"/>
      <w:marBottom w:val="0"/>
      <w:divBdr>
        <w:top w:val="none" w:sz="0" w:space="0" w:color="auto"/>
        <w:left w:val="none" w:sz="0" w:space="0" w:color="auto"/>
        <w:bottom w:val="none" w:sz="0" w:space="0" w:color="auto"/>
        <w:right w:val="none" w:sz="0" w:space="0" w:color="auto"/>
      </w:divBdr>
    </w:div>
    <w:div w:id="1292438788">
      <w:bodyDiv w:val="1"/>
      <w:marLeft w:val="0"/>
      <w:marRight w:val="0"/>
      <w:marTop w:val="0"/>
      <w:marBottom w:val="0"/>
      <w:divBdr>
        <w:top w:val="none" w:sz="0" w:space="0" w:color="auto"/>
        <w:left w:val="none" w:sz="0" w:space="0" w:color="auto"/>
        <w:bottom w:val="none" w:sz="0" w:space="0" w:color="auto"/>
        <w:right w:val="none" w:sz="0" w:space="0" w:color="auto"/>
      </w:divBdr>
    </w:div>
    <w:div w:id="1300380518">
      <w:bodyDiv w:val="1"/>
      <w:marLeft w:val="0"/>
      <w:marRight w:val="0"/>
      <w:marTop w:val="0"/>
      <w:marBottom w:val="0"/>
      <w:divBdr>
        <w:top w:val="none" w:sz="0" w:space="0" w:color="auto"/>
        <w:left w:val="none" w:sz="0" w:space="0" w:color="auto"/>
        <w:bottom w:val="none" w:sz="0" w:space="0" w:color="auto"/>
        <w:right w:val="none" w:sz="0" w:space="0" w:color="auto"/>
      </w:divBdr>
    </w:div>
    <w:div w:id="1347440792">
      <w:bodyDiv w:val="1"/>
      <w:marLeft w:val="0"/>
      <w:marRight w:val="0"/>
      <w:marTop w:val="0"/>
      <w:marBottom w:val="0"/>
      <w:divBdr>
        <w:top w:val="none" w:sz="0" w:space="0" w:color="auto"/>
        <w:left w:val="none" w:sz="0" w:space="0" w:color="auto"/>
        <w:bottom w:val="none" w:sz="0" w:space="0" w:color="auto"/>
        <w:right w:val="none" w:sz="0" w:space="0" w:color="auto"/>
      </w:divBdr>
    </w:div>
    <w:div w:id="1423407467">
      <w:bodyDiv w:val="1"/>
      <w:marLeft w:val="0"/>
      <w:marRight w:val="0"/>
      <w:marTop w:val="0"/>
      <w:marBottom w:val="0"/>
      <w:divBdr>
        <w:top w:val="none" w:sz="0" w:space="0" w:color="auto"/>
        <w:left w:val="none" w:sz="0" w:space="0" w:color="auto"/>
        <w:bottom w:val="none" w:sz="0" w:space="0" w:color="auto"/>
        <w:right w:val="none" w:sz="0" w:space="0" w:color="auto"/>
      </w:divBdr>
    </w:div>
    <w:div w:id="1546797218">
      <w:bodyDiv w:val="1"/>
      <w:marLeft w:val="0"/>
      <w:marRight w:val="0"/>
      <w:marTop w:val="0"/>
      <w:marBottom w:val="0"/>
      <w:divBdr>
        <w:top w:val="none" w:sz="0" w:space="0" w:color="auto"/>
        <w:left w:val="none" w:sz="0" w:space="0" w:color="auto"/>
        <w:bottom w:val="none" w:sz="0" w:space="0" w:color="auto"/>
        <w:right w:val="none" w:sz="0" w:space="0" w:color="auto"/>
      </w:divBdr>
    </w:div>
    <w:div w:id="2023506243">
      <w:bodyDiv w:val="1"/>
      <w:marLeft w:val="0"/>
      <w:marRight w:val="0"/>
      <w:marTop w:val="0"/>
      <w:marBottom w:val="0"/>
      <w:divBdr>
        <w:top w:val="none" w:sz="0" w:space="0" w:color="auto"/>
        <w:left w:val="none" w:sz="0" w:space="0" w:color="auto"/>
        <w:bottom w:val="none" w:sz="0" w:space="0" w:color="auto"/>
        <w:right w:val="none" w:sz="0" w:space="0" w:color="auto"/>
      </w:divBdr>
    </w:div>
    <w:div w:id="2048410044">
      <w:bodyDiv w:val="1"/>
      <w:marLeft w:val="0"/>
      <w:marRight w:val="0"/>
      <w:marTop w:val="0"/>
      <w:marBottom w:val="0"/>
      <w:divBdr>
        <w:top w:val="none" w:sz="0" w:space="0" w:color="auto"/>
        <w:left w:val="none" w:sz="0" w:space="0" w:color="auto"/>
        <w:bottom w:val="none" w:sz="0" w:space="0" w:color="auto"/>
        <w:right w:val="none" w:sz="0" w:space="0" w:color="auto"/>
      </w:divBdr>
    </w:div>
    <w:div w:id="2071883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plegest.com/fr-FR/investissement-responsabl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ampleges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6F20B3-0FB1-4038-96BD-4D141266C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3038</Words>
  <Characters>16709</Characters>
  <Application>Microsoft Office Word</Application>
  <DocSecurity>0</DocSecurity>
  <Lines>139</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Anais CASSAGNES</dc:creator>
  <cp:keywords/>
  <dc:description/>
  <cp:lastModifiedBy>Stephane CUAU</cp:lastModifiedBy>
  <cp:revision>4</cp:revision>
  <cp:lastPrinted>2025-02-05T16:34:00Z</cp:lastPrinted>
  <dcterms:created xsi:type="dcterms:W3CDTF">2025-02-05T16:04:00Z</dcterms:created>
  <dcterms:modified xsi:type="dcterms:W3CDTF">2025-02-05T17:34:00Z</dcterms:modified>
</cp:coreProperties>
</file>